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0ED6A" w14:textId="77777777" w:rsidR="00E34B4C" w:rsidRPr="00F372F0" w:rsidRDefault="00E34B4C" w:rsidP="00E34B4C">
      <w:pPr>
        <w:pStyle w:val="Ttulo2"/>
        <w:jc w:val="center"/>
        <w:rPr>
          <w:rFonts w:ascii="Arial" w:eastAsia="Arial" w:hAnsi="Arial" w:cs="Arial"/>
          <w:b/>
          <w:bCs/>
          <w:color w:val="auto"/>
          <w:sz w:val="22"/>
          <w:szCs w:val="22"/>
          <w:highlight w:val="white"/>
        </w:rPr>
      </w:pPr>
      <w:r w:rsidRPr="00F372F0">
        <w:rPr>
          <w:rFonts w:ascii="Arial" w:eastAsia="Arial" w:hAnsi="Arial" w:cs="Arial"/>
          <w:b/>
          <w:bCs/>
          <w:color w:val="auto"/>
          <w:sz w:val="22"/>
          <w:szCs w:val="22"/>
          <w:highlight w:val="white"/>
        </w:rPr>
        <w:t>LA DIRECCIÓN DE INVESTIGACIONES Y CONTROL DE VIVIENDA DE LA SUBSECRETARÍA DE INSPECCIÓN, VIGILANCIA Y CONTROL DE VIVIENDA DE LA SECRETARÍA DISTRITAL DEL HÁBITAT</w:t>
      </w:r>
    </w:p>
    <w:p w14:paraId="2DC0ECA7" w14:textId="77777777" w:rsidR="00E34B4C" w:rsidRPr="00F372F0" w:rsidRDefault="00E34B4C" w:rsidP="00E34B4C">
      <w:pPr>
        <w:jc w:val="center"/>
        <w:rPr>
          <w:rFonts w:ascii="Arial" w:eastAsia="Arial" w:hAnsi="Arial" w:cs="Arial"/>
          <w:sz w:val="22"/>
          <w:szCs w:val="22"/>
          <w:highlight w:val="white"/>
        </w:rPr>
      </w:pPr>
      <w:bookmarkStart w:id="0" w:name="_heading=h.tziib8mju948" w:colFirst="0" w:colLast="0"/>
      <w:bookmarkEnd w:id="0"/>
    </w:p>
    <w:p w14:paraId="5D4380EF" w14:textId="77777777" w:rsidR="00E34B4C" w:rsidRPr="00F372F0" w:rsidRDefault="00E34B4C" w:rsidP="00E34B4C">
      <w:pPr>
        <w:jc w:val="center"/>
        <w:rPr>
          <w:rFonts w:ascii="Arial" w:eastAsia="Arial" w:hAnsi="Arial" w:cs="Arial"/>
          <w:sz w:val="22"/>
          <w:szCs w:val="22"/>
          <w:highlight w:val="white"/>
        </w:rPr>
      </w:pPr>
      <w:r w:rsidRPr="00F372F0">
        <w:rPr>
          <w:rFonts w:ascii="Arial" w:eastAsia="Arial" w:hAnsi="Arial" w:cs="Arial"/>
          <w:sz w:val="22"/>
          <w:szCs w:val="22"/>
          <w:highlight w:val="white"/>
        </w:rPr>
        <w:t>En ejercicio de las atribuciones conferidas por la Ley 66 de 1968, los Decretos Ley 2610 de 1979, 078 de 1987, el Decreto Distrital 653 de 2025, los Acuerdos Distritales 079 de 2003 y 735 de 2019 y demás normas concordantes, y,</w:t>
      </w:r>
    </w:p>
    <w:p w14:paraId="01B6287F" w14:textId="77777777" w:rsidR="00E34B4C" w:rsidRPr="00F372F0" w:rsidRDefault="00E34B4C" w:rsidP="00E34B4C">
      <w:pPr>
        <w:jc w:val="center"/>
        <w:rPr>
          <w:rFonts w:ascii="Arial" w:eastAsia="Arial" w:hAnsi="Arial" w:cs="Arial"/>
          <w:sz w:val="22"/>
          <w:szCs w:val="22"/>
          <w:highlight w:val="white"/>
        </w:rPr>
      </w:pPr>
    </w:p>
    <w:p w14:paraId="443C312E" w14:textId="77777777" w:rsidR="00E34B4C" w:rsidRPr="00F372F0" w:rsidRDefault="00E34B4C" w:rsidP="00E34B4C">
      <w:pPr>
        <w:jc w:val="center"/>
        <w:rPr>
          <w:rFonts w:ascii="Arial" w:eastAsia="Arial" w:hAnsi="Arial" w:cs="Arial"/>
          <w:b/>
          <w:bCs/>
          <w:sz w:val="22"/>
          <w:szCs w:val="22"/>
          <w:highlight w:val="white"/>
        </w:rPr>
      </w:pPr>
      <w:r w:rsidRPr="00F372F0">
        <w:rPr>
          <w:rFonts w:ascii="Arial" w:eastAsia="Arial" w:hAnsi="Arial" w:cs="Arial"/>
          <w:b/>
          <w:bCs/>
          <w:sz w:val="22"/>
          <w:szCs w:val="22"/>
          <w:highlight w:val="white"/>
        </w:rPr>
        <w:t>CONSIDERANDO:</w:t>
      </w:r>
    </w:p>
    <w:p w14:paraId="54378F86" w14:textId="77777777" w:rsidR="00E34B4C" w:rsidRPr="00F372F0" w:rsidRDefault="00E34B4C" w:rsidP="00E34B4C">
      <w:pPr>
        <w:jc w:val="both"/>
        <w:rPr>
          <w:rFonts w:ascii="Arial" w:eastAsia="Arial" w:hAnsi="Arial" w:cs="Arial"/>
          <w:sz w:val="22"/>
          <w:szCs w:val="22"/>
        </w:rPr>
      </w:pPr>
      <w:bookmarkStart w:id="1" w:name="_heading=h.vmq5jlsylcjh" w:colFirst="0" w:colLast="0"/>
      <w:bookmarkEnd w:id="1"/>
    </w:p>
    <w:p w14:paraId="7289E20A" w14:textId="77777777" w:rsidR="00E34B4C" w:rsidRPr="00F372F0" w:rsidRDefault="00E34B4C" w:rsidP="00E34B4C">
      <w:pPr>
        <w:widowControl w:val="0"/>
        <w:pBdr>
          <w:top w:val="nil"/>
          <w:left w:val="nil"/>
          <w:bottom w:val="nil"/>
          <w:right w:val="nil"/>
          <w:between w:val="nil"/>
        </w:pBdr>
        <w:jc w:val="both"/>
        <w:rPr>
          <w:rFonts w:ascii="Arial" w:eastAsia="Arial" w:hAnsi="Arial" w:cs="Arial"/>
          <w:sz w:val="22"/>
          <w:szCs w:val="22"/>
        </w:rPr>
      </w:pPr>
      <w:r w:rsidRPr="00F372F0">
        <w:rPr>
          <w:rFonts w:ascii="Arial" w:eastAsia="Arial" w:hAnsi="Arial" w:cs="Arial"/>
          <w:sz w:val="22"/>
          <w:szCs w:val="22"/>
        </w:rPr>
        <w:t>Que la Dirección de Investigaciones y Control de Vivienda de la Subsecretaría de Inspección, Vigilancia y Control de Vivienda de la Secretaría Distrital del Hábitat, en virtud de su competencia y de conformidad con lo dispuesto en el parágrafo del artículo 1 del Decreto 572 de 2015 hoy artículo 111 del Decreto 653 de 2025, conoció de la queja trasladada por la PERSONERÍA DE BOGOTÁ D.C., con relación a las presuntas irregularidades existentes en las áreas del apartamento 603, interior 4, Bloque G, del proyecto de vivienda AGRUPACIÓN RINCÓN DE BOLONIA - PROPIEDAD HORIZONTAL, ubicado en la Carrera 10 ESTE SUR No. 76-25 de esta ciudad, en contra de la sociedad enajenadora CG CONSTRUCTORA S.A.S., identificada con NIT. 800.051.984-2, representada legalmente por el señor CÉSAR GÓMEZ ESTRADA, (o quien haga sus veces); actuación a la que le correspondió el radicado No. 1-2019-35548-35.</w:t>
      </w:r>
    </w:p>
    <w:p w14:paraId="2EB19C16" w14:textId="77777777" w:rsidR="00E34B4C" w:rsidRPr="00F372F0" w:rsidRDefault="00E34B4C" w:rsidP="00E34B4C">
      <w:pPr>
        <w:widowControl w:val="0"/>
        <w:pBdr>
          <w:top w:val="nil"/>
          <w:left w:val="nil"/>
          <w:bottom w:val="nil"/>
          <w:right w:val="nil"/>
          <w:between w:val="nil"/>
        </w:pBdr>
        <w:jc w:val="both"/>
        <w:rPr>
          <w:rFonts w:ascii="Arial" w:eastAsia="Arial" w:hAnsi="Arial" w:cs="Arial"/>
          <w:sz w:val="22"/>
          <w:szCs w:val="22"/>
        </w:rPr>
      </w:pPr>
    </w:p>
    <w:p w14:paraId="6EBDB49B" w14:textId="08E69B8E" w:rsidR="00E34B4C" w:rsidRPr="00F372F0" w:rsidRDefault="00E34B4C" w:rsidP="00E34B4C">
      <w:pPr>
        <w:widowControl w:val="0"/>
        <w:pBdr>
          <w:top w:val="nil"/>
          <w:left w:val="nil"/>
          <w:bottom w:val="nil"/>
          <w:right w:val="nil"/>
          <w:between w:val="nil"/>
        </w:pBdr>
        <w:jc w:val="both"/>
        <w:rPr>
          <w:rFonts w:ascii="Arial" w:eastAsia="Arial" w:hAnsi="Arial" w:cs="Arial"/>
          <w:sz w:val="22"/>
          <w:szCs w:val="22"/>
        </w:rPr>
      </w:pPr>
      <w:bookmarkStart w:id="2" w:name="_heading=h.3znysh7" w:colFirst="0" w:colLast="0"/>
      <w:bookmarkEnd w:id="2"/>
      <w:r w:rsidRPr="00F372F0">
        <w:rPr>
          <w:rFonts w:ascii="Arial" w:eastAsia="Arial" w:hAnsi="Arial" w:cs="Arial"/>
          <w:sz w:val="22"/>
          <w:szCs w:val="22"/>
        </w:rPr>
        <w:t>Que, una vez surtidas las actuaciones procesales pertinentes, esta Dirección, mediante Resolución No. 306 del 12 de abril de 2022, "</w:t>
      </w:r>
      <w:r w:rsidRPr="00F372F0">
        <w:rPr>
          <w:rFonts w:ascii="Arial" w:eastAsia="Arial" w:hAnsi="Arial" w:cs="Arial"/>
          <w:i/>
          <w:iCs/>
          <w:sz w:val="22"/>
          <w:szCs w:val="22"/>
        </w:rPr>
        <w:t>Por la cual se impone una sanción y se imparte una orden</w:t>
      </w:r>
      <w:r w:rsidRPr="00F372F0">
        <w:rPr>
          <w:rFonts w:ascii="Arial" w:eastAsia="Arial" w:hAnsi="Arial" w:cs="Arial"/>
          <w:sz w:val="22"/>
          <w:szCs w:val="22"/>
        </w:rPr>
        <w:t>", multó a la sociedad enajenadora CG CONSTRUCTORA S.A.S., identificada con NIT. 800.051.984-2, con la suma de CINCUENTA MIL PESOS (S50.000.) M/CTE, que indexados a la fecha corresponden a la suma de OCHO MILLONES TRESCIENTOS CUARENTA Y UN MIL TRESCIENTOS CUATRO PESOS ($ 8.341.304) M/CTE.</w:t>
      </w:r>
    </w:p>
    <w:p w14:paraId="7EC69C7C" w14:textId="77777777" w:rsidR="00E34B4C" w:rsidRPr="00F372F0" w:rsidRDefault="00E34B4C" w:rsidP="00E34B4C">
      <w:pPr>
        <w:widowControl w:val="0"/>
        <w:pBdr>
          <w:top w:val="nil"/>
          <w:left w:val="nil"/>
          <w:bottom w:val="nil"/>
          <w:right w:val="nil"/>
          <w:between w:val="nil"/>
        </w:pBdr>
        <w:jc w:val="both"/>
        <w:rPr>
          <w:rFonts w:ascii="Arial" w:eastAsia="Arial" w:hAnsi="Arial" w:cs="Arial"/>
          <w:sz w:val="22"/>
          <w:szCs w:val="22"/>
        </w:rPr>
      </w:pPr>
      <w:bookmarkStart w:id="3" w:name="_heading=h.1jd80eymxi61" w:colFirst="0" w:colLast="0"/>
      <w:bookmarkEnd w:id="3"/>
    </w:p>
    <w:p w14:paraId="246E3CC1" w14:textId="77777777" w:rsidR="00E34B4C" w:rsidRPr="00F372F0" w:rsidRDefault="00E34B4C" w:rsidP="00E34B4C">
      <w:pPr>
        <w:widowControl w:val="0"/>
        <w:pBdr>
          <w:top w:val="nil"/>
          <w:left w:val="nil"/>
          <w:bottom w:val="nil"/>
          <w:right w:val="nil"/>
          <w:between w:val="nil"/>
        </w:pBdr>
        <w:jc w:val="both"/>
        <w:rPr>
          <w:rFonts w:ascii="Arial" w:eastAsia="Arial" w:hAnsi="Arial" w:cs="Arial"/>
          <w:sz w:val="22"/>
          <w:szCs w:val="22"/>
        </w:rPr>
      </w:pPr>
      <w:bookmarkStart w:id="4" w:name="_heading=h.4m4q6b1tjgvg" w:colFirst="0" w:colLast="0"/>
      <w:bookmarkEnd w:id="4"/>
      <w:r w:rsidRPr="00F372F0">
        <w:rPr>
          <w:rFonts w:ascii="Arial" w:eastAsia="Arial" w:hAnsi="Arial" w:cs="Arial"/>
          <w:sz w:val="22"/>
          <w:szCs w:val="22"/>
        </w:rPr>
        <w:t>Que, en los artículos segundo, tercero y cuarto de la Resolución No. 306 del 12 de abril de 2022, “</w:t>
      </w:r>
      <w:r w:rsidRPr="00F372F0">
        <w:rPr>
          <w:rFonts w:ascii="Arial" w:eastAsia="Arial" w:hAnsi="Arial" w:cs="Arial"/>
          <w:i/>
          <w:iCs/>
          <w:sz w:val="22"/>
          <w:szCs w:val="22"/>
        </w:rPr>
        <w:t>Por la cual se impone una sanción y se imparte una orden</w:t>
      </w:r>
      <w:r w:rsidRPr="00F372F0">
        <w:rPr>
          <w:rFonts w:ascii="Arial" w:eastAsia="Arial" w:hAnsi="Arial" w:cs="Arial"/>
          <w:sz w:val="22"/>
          <w:szCs w:val="22"/>
        </w:rPr>
        <w:t xml:space="preserve">”, se estableció: </w:t>
      </w:r>
      <w:bookmarkStart w:id="5" w:name="_heading=h.b8korpyp0hjy" w:colFirst="0" w:colLast="0"/>
      <w:bookmarkEnd w:id="5"/>
    </w:p>
    <w:p w14:paraId="341D8DC2" w14:textId="77777777" w:rsidR="00E34B4C" w:rsidRPr="00F372F0" w:rsidRDefault="00E34B4C" w:rsidP="00E34B4C">
      <w:pPr>
        <w:ind w:right="624"/>
        <w:jc w:val="both"/>
        <w:rPr>
          <w:rFonts w:ascii="Arial" w:eastAsia="Arial" w:hAnsi="Arial" w:cs="Arial"/>
          <w:i/>
          <w:iCs/>
          <w:sz w:val="22"/>
          <w:szCs w:val="22"/>
        </w:rPr>
      </w:pPr>
    </w:p>
    <w:p w14:paraId="6CD4168D" w14:textId="77777777" w:rsidR="00E34B4C" w:rsidRPr="00F372F0" w:rsidRDefault="00E34B4C" w:rsidP="00522196">
      <w:pPr>
        <w:ind w:left="680" w:right="-93"/>
        <w:jc w:val="both"/>
        <w:rPr>
          <w:rFonts w:ascii="Arial" w:eastAsia="Arial" w:hAnsi="Arial" w:cs="Arial"/>
          <w:i/>
          <w:iCs/>
          <w:sz w:val="22"/>
          <w:szCs w:val="22"/>
        </w:rPr>
      </w:pPr>
      <w:r w:rsidRPr="00F372F0">
        <w:rPr>
          <w:rFonts w:ascii="Arial" w:eastAsia="Arial" w:hAnsi="Arial" w:cs="Arial"/>
          <w:b/>
          <w:bCs/>
          <w:i/>
          <w:iCs/>
          <w:sz w:val="22"/>
          <w:szCs w:val="22"/>
        </w:rPr>
        <w:t>ARTÍCULO SEGUNDO:</w:t>
      </w:r>
      <w:r w:rsidRPr="00F372F0">
        <w:rPr>
          <w:rFonts w:ascii="Arial" w:eastAsia="Arial" w:hAnsi="Arial" w:cs="Arial"/>
          <w:i/>
          <w:iCs/>
          <w:sz w:val="22"/>
          <w:szCs w:val="22"/>
        </w:rPr>
        <w:t xml:space="preserve"> Requerir a la sociedad </w:t>
      </w:r>
      <w:r w:rsidRPr="00F372F0">
        <w:rPr>
          <w:rFonts w:ascii="Arial" w:eastAsia="Arial" w:hAnsi="Arial" w:cs="Arial"/>
          <w:b/>
          <w:bCs/>
          <w:i/>
          <w:iCs/>
          <w:sz w:val="22"/>
          <w:szCs w:val="22"/>
        </w:rPr>
        <w:t>CG CONSTRUCTORA S.A.S.</w:t>
      </w:r>
      <w:r w:rsidRPr="00F372F0">
        <w:rPr>
          <w:rFonts w:ascii="Arial" w:eastAsia="Arial" w:hAnsi="Arial" w:cs="Arial"/>
          <w:i/>
          <w:iCs/>
          <w:sz w:val="22"/>
          <w:szCs w:val="22"/>
        </w:rPr>
        <w:t xml:space="preserve">, identificada con </w:t>
      </w:r>
      <w:r w:rsidRPr="00F372F0">
        <w:rPr>
          <w:rFonts w:ascii="Arial" w:eastAsia="Arial" w:hAnsi="Arial" w:cs="Arial"/>
          <w:b/>
          <w:bCs/>
          <w:i/>
          <w:iCs/>
          <w:sz w:val="22"/>
          <w:szCs w:val="22"/>
        </w:rPr>
        <w:t>NIT. 800.051.984-2</w:t>
      </w:r>
      <w:r w:rsidRPr="00F372F0">
        <w:rPr>
          <w:rFonts w:ascii="Arial" w:eastAsia="Arial" w:hAnsi="Arial" w:cs="Arial"/>
          <w:i/>
          <w:iCs/>
          <w:sz w:val="22"/>
          <w:szCs w:val="22"/>
        </w:rPr>
        <w:t xml:space="preserve">, representada legalmente por el señor </w:t>
      </w:r>
      <w:r w:rsidRPr="00F372F0">
        <w:rPr>
          <w:rFonts w:ascii="Arial" w:eastAsia="Arial" w:hAnsi="Arial" w:cs="Arial"/>
          <w:b/>
          <w:bCs/>
          <w:i/>
          <w:iCs/>
          <w:sz w:val="22"/>
          <w:szCs w:val="22"/>
        </w:rPr>
        <w:t>CÉSAR GÓMEZ ESTRADA</w:t>
      </w:r>
      <w:r w:rsidRPr="00F372F0">
        <w:rPr>
          <w:rFonts w:ascii="Arial" w:eastAsia="Arial" w:hAnsi="Arial" w:cs="Arial"/>
          <w:i/>
          <w:iCs/>
          <w:sz w:val="22"/>
          <w:szCs w:val="22"/>
        </w:rPr>
        <w:t xml:space="preserve"> (o quien haga sus veces), para que dentro del término de </w:t>
      </w:r>
      <w:r w:rsidRPr="00F372F0">
        <w:rPr>
          <w:rFonts w:ascii="Arial" w:eastAsia="Arial" w:hAnsi="Arial" w:cs="Arial"/>
          <w:b/>
          <w:bCs/>
          <w:i/>
          <w:iCs/>
          <w:sz w:val="22"/>
          <w:szCs w:val="22"/>
        </w:rPr>
        <w:t>TRES</w:t>
      </w:r>
      <w:r w:rsidRPr="00F372F0">
        <w:rPr>
          <w:rFonts w:ascii="Arial" w:eastAsia="Arial" w:hAnsi="Arial" w:cs="Arial"/>
          <w:i/>
          <w:iCs/>
          <w:sz w:val="22"/>
          <w:szCs w:val="22"/>
        </w:rPr>
        <w:t xml:space="preserve"> (3) meses (calendario) siguientes a la ejecutoria del presente acto administrativo se acoja a la normatividad infringida, para lo cual deberá solucionar en forma definitiva el hecho </w:t>
      </w:r>
      <w:r w:rsidRPr="00F372F0">
        <w:rPr>
          <w:rFonts w:ascii="Arial" w:eastAsia="Arial" w:hAnsi="Arial" w:cs="Arial"/>
          <w:b/>
          <w:bCs/>
          <w:i/>
          <w:iCs/>
          <w:sz w:val="22"/>
          <w:szCs w:val="22"/>
        </w:rPr>
        <w:t>"1. Falta de Medidores de Agua"</w:t>
      </w:r>
      <w:r w:rsidRPr="00F372F0">
        <w:rPr>
          <w:rFonts w:ascii="Arial" w:eastAsia="Arial" w:hAnsi="Arial" w:cs="Arial"/>
          <w:i/>
          <w:iCs/>
          <w:sz w:val="22"/>
          <w:szCs w:val="22"/>
        </w:rPr>
        <w:t xml:space="preserve">, que se presenta en el apartamento 603 interior 4 bloque G del proyecto de vivienda </w:t>
      </w:r>
      <w:r w:rsidRPr="00F372F0">
        <w:rPr>
          <w:rFonts w:ascii="Arial" w:eastAsia="Arial" w:hAnsi="Arial" w:cs="Arial"/>
          <w:b/>
          <w:bCs/>
          <w:i/>
          <w:iCs/>
          <w:sz w:val="22"/>
          <w:szCs w:val="22"/>
        </w:rPr>
        <w:t>AGRUPACIÓN RINCÓN DE BOLONIA - PROPIEDAD HORIZONTAL</w:t>
      </w:r>
      <w:r w:rsidRPr="00F372F0">
        <w:rPr>
          <w:rFonts w:ascii="Arial" w:eastAsia="Arial" w:hAnsi="Arial" w:cs="Arial"/>
          <w:i/>
          <w:iCs/>
          <w:sz w:val="22"/>
          <w:szCs w:val="22"/>
        </w:rPr>
        <w:t xml:space="preserve">, ya que dicha afectación constituye una deficiencia constructiva calificada como grave, conforme se evidencia en el Informe de Verificación de Hechos No. 19-1294 del 20 de noviembre de 2019; lo anterior en el </w:t>
      </w:r>
      <w:r w:rsidRPr="00F372F0">
        <w:rPr>
          <w:rFonts w:ascii="Arial" w:eastAsia="Arial" w:hAnsi="Arial" w:cs="Arial"/>
          <w:i/>
          <w:iCs/>
          <w:sz w:val="22"/>
          <w:szCs w:val="22"/>
        </w:rPr>
        <w:lastRenderedPageBreak/>
        <w:t>evento de que dicho hallazgo no haya sido intervenido al momento de la expedición de la presente Resolución.</w:t>
      </w:r>
    </w:p>
    <w:p w14:paraId="1F721F94" w14:textId="77777777" w:rsidR="00E34B4C" w:rsidRPr="00F372F0" w:rsidRDefault="00E34B4C" w:rsidP="00522196">
      <w:pPr>
        <w:ind w:left="680" w:right="-93"/>
        <w:jc w:val="both"/>
        <w:rPr>
          <w:rFonts w:ascii="Arial" w:eastAsia="Arial" w:hAnsi="Arial" w:cs="Arial"/>
          <w:i/>
          <w:iCs/>
          <w:sz w:val="22"/>
          <w:szCs w:val="22"/>
        </w:rPr>
      </w:pPr>
    </w:p>
    <w:p w14:paraId="78322A15" w14:textId="77777777" w:rsidR="00E34B4C" w:rsidRPr="00F372F0" w:rsidRDefault="00E34B4C" w:rsidP="00522196">
      <w:pPr>
        <w:ind w:left="680" w:right="-93"/>
        <w:jc w:val="both"/>
        <w:rPr>
          <w:rFonts w:ascii="Arial" w:eastAsia="Arial" w:hAnsi="Arial" w:cs="Arial"/>
          <w:i/>
          <w:iCs/>
          <w:sz w:val="22"/>
          <w:szCs w:val="22"/>
        </w:rPr>
      </w:pPr>
      <w:r w:rsidRPr="00F372F0">
        <w:rPr>
          <w:rFonts w:ascii="Arial" w:eastAsia="Arial" w:hAnsi="Arial" w:cs="Arial"/>
          <w:b/>
          <w:bCs/>
          <w:i/>
          <w:iCs/>
          <w:sz w:val="22"/>
          <w:szCs w:val="22"/>
        </w:rPr>
        <w:t>ARTÍCULO TERCERO:</w:t>
      </w:r>
      <w:r w:rsidRPr="00F372F0">
        <w:rPr>
          <w:rFonts w:ascii="Arial" w:eastAsia="Arial" w:hAnsi="Arial" w:cs="Arial"/>
          <w:i/>
          <w:iCs/>
          <w:sz w:val="22"/>
          <w:szCs w:val="22"/>
        </w:rPr>
        <w:t xml:space="preserve"> Ordenar a la sociedad enajenadora </w:t>
      </w:r>
      <w:r w:rsidRPr="00F372F0">
        <w:rPr>
          <w:rFonts w:ascii="Arial" w:eastAsia="Arial" w:hAnsi="Arial" w:cs="Arial"/>
          <w:b/>
          <w:bCs/>
          <w:i/>
          <w:iCs/>
          <w:sz w:val="22"/>
          <w:szCs w:val="22"/>
        </w:rPr>
        <w:t>CG CONSTRUCTORA S.A.S</w:t>
      </w:r>
      <w:r w:rsidRPr="00F372F0">
        <w:rPr>
          <w:rFonts w:ascii="Arial" w:eastAsia="Arial" w:hAnsi="Arial" w:cs="Arial"/>
          <w:i/>
          <w:iCs/>
          <w:sz w:val="22"/>
          <w:szCs w:val="22"/>
        </w:rPr>
        <w:t xml:space="preserve">., identificada con </w:t>
      </w:r>
      <w:r w:rsidRPr="00F372F0">
        <w:rPr>
          <w:rFonts w:ascii="Arial" w:eastAsia="Arial" w:hAnsi="Arial" w:cs="Arial"/>
          <w:b/>
          <w:bCs/>
          <w:i/>
          <w:iCs/>
          <w:sz w:val="22"/>
          <w:szCs w:val="22"/>
        </w:rPr>
        <w:t>NIT. 800.051.984-2</w:t>
      </w:r>
      <w:r w:rsidRPr="00F372F0">
        <w:rPr>
          <w:rFonts w:ascii="Arial" w:eastAsia="Arial" w:hAnsi="Arial" w:cs="Arial"/>
          <w:i/>
          <w:iCs/>
          <w:sz w:val="22"/>
          <w:szCs w:val="22"/>
        </w:rPr>
        <w:t xml:space="preserve">, representada legalmente por el señor </w:t>
      </w:r>
      <w:r w:rsidRPr="00F372F0">
        <w:rPr>
          <w:rFonts w:ascii="Arial" w:eastAsia="Arial" w:hAnsi="Arial" w:cs="Arial"/>
          <w:b/>
          <w:bCs/>
          <w:i/>
          <w:iCs/>
          <w:sz w:val="22"/>
          <w:szCs w:val="22"/>
        </w:rPr>
        <w:t>CÉSAR GÓMEZ ESTRADA</w:t>
      </w:r>
      <w:r w:rsidRPr="00F372F0">
        <w:rPr>
          <w:rFonts w:ascii="Arial" w:eastAsia="Arial" w:hAnsi="Arial" w:cs="Arial"/>
          <w:i/>
          <w:iCs/>
          <w:sz w:val="22"/>
          <w:szCs w:val="22"/>
        </w:rPr>
        <w:t>, (o quien haga sus veces), para que dentro de los diez (10) días (hábiles) siguientes al cumplimiento del término otorgado en el artículo anterior, acredite ante este Despacho la realización de las labores de corrección sobre los citados hechos.</w:t>
      </w:r>
    </w:p>
    <w:p w14:paraId="3785661C" w14:textId="77777777" w:rsidR="00E34B4C" w:rsidRPr="00F372F0" w:rsidRDefault="00E34B4C" w:rsidP="00522196">
      <w:pPr>
        <w:ind w:left="680" w:right="-93"/>
        <w:jc w:val="both"/>
        <w:rPr>
          <w:rFonts w:ascii="Arial" w:eastAsia="Arial" w:hAnsi="Arial" w:cs="Arial"/>
          <w:i/>
          <w:iCs/>
          <w:sz w:val="22"/>
          <w:szCs w:val="22"/>
        </w:rPr>
      </w:pPr>
    </w:p>
    <w:p w14:paraId="13AB0B07" w14:textId="77777777" w:rsidR="00E34B4C" w:rsidRPr="00F372F0" w:rsidRDefault="00E34B4C" w:rsidP="00522196">
      <w:pPr>
        <w:ind w:left="680" w:right="-93"/>
        <w:jc w:val="both"/>
        <w:rPr>
          <w:rFonts w:ascii="Arial" w:eastAsia="Arial" w:hAnsi="Arial" w:cs="Arial"/>
          <w:i/>
          <w:iCs/>
          <w:sz w:val="22"/>
          <w:szCs w:val="22"/>
        </w:rPr>
      </w:pPr>
      <w:r w:rsidRPr="00F372F0">
        <w:rPr>
          <w:rFonts w:ascii="Arial" w:eastAsia="Arial" w:hAnsi="Arial" w:cs="Arial"/>
          <w:b/>
          <w:bCs/>
          <w:i/>
          <w:iCs/>
          <w:sz w:val="22"/>
          <w:szCs w:val="22"/>
        </w:rPr>
        <w:t>ARTÍCULO CUARTO:</w:t>
      </w:r>
      <w:r w:rsidRPr="00F372F0">
        <w:rPr>
          <w:rFonts w:ascii="Arial" w:eastAsia="Arial" w:hAnsi="Arial" w:cs="Arial"/>
          <w:i/>
          <w:iCs/>
          <w:sz w:val="22"/>
          <w:szCs w:val="22"/>
        </w:rPr>
        <w:t xml:space="preserve"> El incumplimiento al requerimiento formulado en el artículo segundo, salvo que el quejoso o interesados impidan la realización de las obras ordenadas, situación que deberá poner en conocimiento inmediato a la Subdirección de Investigaciones y Control de Vivienda, dará lugar a la imposición de sanción, consistente en multa de entre $10.000 a $500.000 pesos; que serán indexados en el tiempo en que se verifique el incumplimiento, por cada seis (6) meses (calendario) de retardo al vencimiento de la fecha establecida para el efecto, de conformidad con lo dispuesto en el inciso segundo numeral 9 del artículo 2º del Decreto Ley. 078 de 1987.</w:t>
      </w:r>
    </w:p>
    <w:p w14:paraId="23D2D0A1" w14:textId="77777777" w:rsidR="00E34B4C" w:rsidRPr="00F372F0" w:rsidRDefault="00E34B4C" w:rsidP="00E34B4C">
      <w:pPr>
        <w:ind w:right="-92"/>
        <w:jc w:val="both"/>
        <w:rPr>
          <w:rFonts w:ascii="Arial" w:eastAsia="Arial" w:hAnsi="Arial" w:cs="Arial"/>
          <w:i/>
          <w:iCs/>
          <w:sz w:val="22"/>
          <w:szCs w:val="22"/>
        </w:rPr>
      </w:pPr>
    </w:p>
    <w:p w14:paraId="699A7618" w14:textId="77777777" w:rsidR="00E34B4C" w:rsidRPr="00522196" w:rsidRDefault="00E34B4C" w:rsidP="00E34B4C">
      <w:pPr>
        <w:ind w:right="-92"/>
        <w:jc w:val="both"/>
        <w:rPr>
          <w:rFonts w:ascii="Arial" w:eastAsia="Arial" w:hAnsi="Arial" w:cs="Arial"/>
          <w:sz w:val="22"/>
          <w:szCs w:val="22"/>
        </w:rPr>
      </w:pPr>
      <w:r w:rsidRPr="00F372F0">
        <w:rPr>
          <w:rFonts w:ascii="Arial" w:eastAsia="Arial" w:hAnsi="Arial" w:cs="Arial"/>
          <w:sz w:val="22"/>
          <w:szCs w:val="22"/>
        </w:rPr>
        <w:t>Que luego de notificada las partes en debida forma, contra la Resolución No. 306 del 12 de abril de 2022, “</w:t>
      </w:r>
      <w:r w:rsidRPr="00F372F0">
        <w:rPr>
          <w:rFonts w:ascii="Arial" w:eastAsia="Arial" w:hAnsi="Arial" w:cs="Arial"/>
          <w:i/>
          <w:iCs/>
          <w:sz w:val="22"/>
          <w:szCs w:val="22"/>
        </w:rPr>
        <w:t>Por la cual se impone una sanción y se imparte una orden</w:t>
      </w:r>
      <w:r w:rsidRPr="00F372F0">
        <w:rPr>
          <w:rFonts w:ascii="Arial" w:eastAsia="Arial" w:hAnsi="Arial" w:cs="Arial"/>
          <w:sz w:val="22"/>
          <w:szCs w:val="22"/>
        </w:rPr>
        <w:t>”, “</w:t>
      </w:r>
      <w:r w:rsidRPr="00F372F0">
        <w:rPr>
          <w:rFonts w:ascii="Arial" w:eastAsia="Arial" w:hAnsi="Arial" w:cs="Arial"/>
          <w:i/>
          <w:iCs/>
          <w:sz w:val="22"/>
          <w:szCs w:val="22"/>
        </w:rPr>
        <w:t>Por la cual se impone una sanción y se imparte una orden</w:t>
      </w:r>
      <w:r w:rsidRPr="00F372F0">
        <w:rPr>
          <w:rFonts w:ascii="Arial" w:eastAsia="Arial" w:hAnsi="Arial" w:cs="Arial"/>
          <w:sz w:val="22"/>
          <w:szCs w:val="22"/>
        </w:rPr>
        <w:t xml:space="preserve">”, no se interpuso recurso alguno, quedando debidamente ejecutoriada el día </w:t>
      </w:r>
      <w:r w:rsidRPr="00522196">
        <w:rPr>
          <w:rFonts w:ascii="Arial" w:eastAsia="Arial" w:hAnsi="Arial" w:cs="Arial"/>
          <w:sz w:val="22"/>
          <w:szCs w:val="22"/>
        </w:rPr>
        <w:t>cinco (05) de mayo de 2022.</w:t>
      </w:r>
    </w:p>
    <w:p w14:paraId="65B16D1A" w14:textId="77777777" w:rsidR="00E34B4C" w:rsidRPr="00F372F0" w:rsidRDefault="00E34B4C" w:rsidP="00E34B4C">
      <w:pPr>
        <w:ind w:right="-92"/>
        <w:jc w:val="both"/>
        <w:rPr>
          <w:rFonts w:ascii="Arial" w:eastAsia="Arial" w:hAnsi="Arial" w:cs="Arial"/>
          <w:sz w:val="22"/>
          <w:szCs w:val="22"/>
        </w:rPr>
      </w:pPr>
    </w:p>
    <w:p w14:paraId="62B37E59" w14:textId="77777777" w:rsidR="00E34B4C" w:rsidRPr="00F372F0" w:rsidRDefault="00E34B4C" w:rsidP="00E34B4C">
      <w:pPr>
        <w:ind w:right="-92"/>
        <w:jc w:val="both"/>
        <w:rPr>
          <w:rFonts w:ascii="Arial" w:eastAsia="Arial" w:hAnsi="Arial" w:cs="Arial"/>
          <w:sz w:val="22"/>
          <w:szCs w:val="22"/>
        </w:rPr>
      </w:pPr>
      <w:r w:rsidRPr="00F372F0">
        <w:rPr>
          <w:rFonts w:ascii="Arial" w:eastAsia="Arial" w:hAnsi="Arial" w:cs="Arial"/>
          <w:sz w:val="22"/>
          <w:szCs w:val="22"/>
        </w:rPr>
        <w:t>Que, mediante radicado 2-2023-33333 y 2-2023-33335 del 19 de abril de 2023, este despacho requiere dentro del término de diez (10) días tanto a la parte quejosa como a la sociedad enajenadora en lo concerniente al cumplimiento de la orden impuesta por la Resolución No. 306 del 12 de abril de 2022.</w:t>
      </w:r>
    </w:p>
    <w:p w14:paraId="1B02F87F" w14:textId="77777777" w:rsidR="00E34B4C" w:rsidRPr="00F372F0" w:rsidRDefault="00E34B4C" w:rsidP="00E34B4C">
      <w:pPr>
        <w:ind w:right="-92"/>
        <w:jc w:val="both"/>
        <w:rPr>
          <w:rFonts w:ascii="Arial" w:eastAsia="Arial" w:hAnsi="Arial" w:cs="Arial"/>
          <w:sz w:val="22"/>
          <w:szCs w:val="22"/>
        </w:rPr>
      </w:pPr>
    </w:p>
    <w:p w14:paraId="5C03E3A5" w14:textId="6B504FC5" w:rsidR="00E34B4C" w:rsidRPr="00F372F0" w:rsidRDefault="00E34B4C" w:rsidP="00E34B4C">
      <w:pPr>
        <w:ind w:right="-92"/>
        <w:jc w:val="both"/>
        <w:rPr>
          <w:rFonts w:ascii="Arial" w:eastAsia="Arial" w:hAnsi="Arial" w:cs="Arial"/>
          <w:sz w:val="22"/>
          <w:szCs w:val="22"/>
        </w:rPr>
      </w:pPr>
      <w:r w:rsidRPr="00F372F0">
        <w:rPr>
          <w:rFonts w:ascii="Arial" w:eastAsia="Arial" w:hAnsi="Arial" w:cs="Arial"/>
          <w:sz w:val="22"/>
          <w:szCs w:val="22"/>
        </w:rPr>
        <w:t>Que de conformidad con las facultades de control otorgadas a esta Dirección y teniendo en cuenta que la orden de hacer no ha sido subsanada, se procedió a emitir la Resolución No. 1042 del 17 de julio de 2023, “</w:t>
      </w:r>
      <w:r w:rsidRPr="00F372F0">
        <w:rPr>
          <w:rFonts w:ascii="Arial" w:eastAsia="Arial" w:hAnsi="Arial" w:cs="Arial"/>
          <w:i/>
          <w:iCs/>
          <w:sz w:val="22"/>
          <w:szCs w:val="22"/>
        </w:rPr>
        <w:t>Por la cual se impone una multa por incumplimiento a una orden</w:t>
      </w:r>
      <w:r w:rsidRPr="00F372F0">
        <w:rPr>
          <w:rFonts w:ascii="Arial" w:eastAsia="Arial" w:hAnsi="Arial" w:cs="Arial"/>
          <w:sz w:val="22"/>
          <w:szCs w:val="22"/>
        </w:rPr>
        <w:t>”, en la cual se impuso la sociedad enajenadora CG CONSTRUCTORA S.A.S., identificada con NIT. 800.051.984-2, representada legalmente por el señor CÉSAR GÓMEZ ESTRADA (o quien haga sus veces) multa de VEINTICINCO MIL PESOS ($25.000.00) M/CTE, que indexados corresponden a la suma de CUATRO MILLONES OCHOCIENTOS TREINTA Y DOS MIL SEISCIENTOS NUEVE PESOS ($4.832.609) M/CTE</w:t>
      </w:r>
      <w:r w:rsidR="00522196">
        <w:rPr>
          <w:rFonts w:ascii="Arial" w:eastAsia="Arial" w:hAnsi="Arial" w:cs="Arial"/>
          <w:sz w:val="22"/>
          <w:szCs w:val="22"/>
        </w:rPr>
        <w:t>.</w:t>
      </w:r>
    </w:p>
    <w:p w14:paraId="1C412409" w14:textId="77777777" w:rsidR="00E34B4C" w:rsidRPr="00F372F0" w:rsidRDefault="00E34B4C" w:rsidP="00E34B4C">
      <w:pPr>
        <w:ind w:right="-92"/>
        <w:jc w:val="both"/>
        <w:rPr>
          <w:rFonts w:ascii="Arial" w:eastAsia="Arial" w:hAnsi="Arial" w:cs="Arial"/>
          <w:sz w:val="22"/>
          <w:szCs w:val="22"/>
        </w:rPr>
      </w:pPr>
    </w:p>
    <w:p w14:paraId="0A1020C0" w14:textId="77777777" w:rsidR="00E34B4C" w:rsidRPr="00F372F0" w:rsidRDefault="00E34B4C" w:rsidP="00E34B4C">
      <w:pPr>
        <w:ind w:right="-92"/>
        <w:jc w:val="both"/>
        <w:rPr>
          <w:rFonts w:ascii="Arial" w:eastAsia="Arial" w:hAnsi="Arial" w:cs="Arial"/>
          <w:sz w:val="22"/>
          <w:szCs w:val="22"/>
        </w:rPr>
      </w:pPr>
      <w:r w:rsidRPr="00F372F0">
        <w:rPr>
          <w:rFonts w:ascii="Arial" w:eastAsia="Arial" w:hAnsi="Arial" w:cs="Arial"/>
          <w:sz w:val="22"/>
          <w:szCs w:val="22"/>
        </w:rPr>
        <w:t>Que mediante oficio con radicado 1-2023-36893 del 05 de septiembre de 2023, el señor DIEGO SIGHINOLFI CARDONA en calidad de representante legal judicial de la sociedad enajenadora CG CONSTRUCTORA S.A.S., identificada con NIT. 800.051.984-2, interpuso recurso de reposición y en subsidio apelación contra la Resolución No. 1042 del 17 de julio de 2023.</w:t>
      </w:r>
    </w:p>
    <w:p w14:paraId="27C5110F" w14:textId="77777777" w:rsidR="00E34B4C" w:rsidRPr="00F372F0" w:rsidRDefault="00E34B4C" w:rsidP="00E34B4C">
      <w:pPr>
        <w:ind w:right="-92"/>
        <w:jc w:val="both"/>
        <w:rPr>
          <w:rFonts w:ascii="Arial" w:eastAsia="Arial" w:hAnsi="Arial" w:cs="Arial"/>
          <w:sz w:val="22"/>
          <w:szCs w:val="22"/>
        </w:rPr>
      </w:pPr>
    </w:p>
    <w:p w14:paraId="4E2C45D7" w14:textId="03112FB5" w:rsidR="00E34B4C" w:rsidRPr="00F372F0" w:rsidRDefault="00E34B4C" w:rsidP="00E34B4C">
      <w:pPr>
        <w:ind w:right="-92"/>
        <w:jc w:val="both"/>
        <w:rPr>
          <w:rFonts w:ascii="Arial" w:eastAsia="Arial" w:hAnsi="Arial" w:cs="Arial"/>
          <w:sz w:val="22"/>
          <w:szCs w:val="22"/>
        </w:rPr>
      </w:pPr>
      <w:r w:rsidRPr="00F372F0">
        <w:rPr>
          <w:rFonts w:ascii="Arial" w:eastAsia="Arial" w:hAnsi="Arial" w:cs="Arial"/>
          <w:sz w:val="22"/>
          <w:szCs w:val="22"/>
        </w:rPr>
        <w:lastRenderedPageBreak/>
        <w:t xml:space="preserve">Que, mediante Resolución No. 2385 del 04 de octubre de 2023, resolvió el recurso de reposición interpuesto, contra la Resolución No. 1042 del 17 de julio de 2023, mediante el cual decidió no reponer la Resolución recurrida y conceder la apelación, misma que fue resuelta mediante la Resolución No. 544 del 18 de julio de 2024, mediante la cual decidió confirmar en todas sus partes a Resolución No. 1042 del 17 de julio de 2023, quedando debidamente ejecutoriada día </w:t>
      </w:r>
      <w:r w:rsidRPr="00522196">
        <w:rPr>
          <w:rFonts w:ascii="Arial" w:eastAsia="Arial" w:hAnsi="Arial" w:cs="Arial"/>
          <w:sz w:val="22"/>
          <w:szCs w:val="22"/>
        </w:rPr>
        <w:t>veinticuatro (24) de julio del 2024</w:t>
      </w:r>
      <w:r w:rsidRPr="00F372F0">
        <w:rPr>
          <w:rFonts w:ascii="Arial" w:eastAsia="Arial" w:hAnsi="Arial" w:cs="Arial"/>
          <w:sz w:val="22"/>
          <w:szCs w:val="22"/>
        </w:rPr>
        <w:t>.</w:t>
      </w:r>
    </w:p>
    <w:p w14:paraId="13801755" w14:textId="77777777" w:rsidR="00E34B4C" w:rsidRPr="00F372F0" w:rsidRDefault="00E34B4C" w:rsidP="00E34B4C">
      <w:pPr>
        <w:ind w:right="-92"/>
        <w:jc w:val="both"/>
        <w:rPr>
          <w:rFonts w:ascii="Arial" w:eastAsia="Arial" w:hAnsi="Arial" w:cs="Arial"/>
          <w:sz w:val="22"/>
          <w:szCs w:val="22"/>
        </w:rPr>
      </w:pPr>
    </w:p>
    <w:p w14:paraId="340BE3A2" w14:textId="77777777" w:rsidR="00E34B4C" w:rsidRPr="00F372F0" w:rsidRDefault="00E34B4C" w:rsidP="00E34B4C">
      <w:pPr>
        <w:ind w:right="-92"/>
        <w:jc w:val="both"/>
        <w:rPr>
          <w:rFonts w:ascii="Arial" w:eastAsia="Arial" w:hAnsi="Arial" w:cs="Arial"/>
          <w:sz w:val="22"/>
          <w:szCs w:val="22"/>
        </w:rPr>
      </w:pPr>
      <w:r w:rsidRPr="00F372F0">
        <w:rPr>
          <w:rFonts w:ascii="Arial" w:eastAsia="Arial" w:hAnsi="Arial" w:cs="Arial"/>
          <w:sz w:val="22"/>
          <w:szCs w:val="22"/>
        </w:rPr>
        <w:t>Que, mediante radicados 2-2025-20233 y 2-2025-20234 del 25 de abril de 2025, se informó a las partes intervinientes, que se practicaría visita de carácter técnico al inmueble objeto de la presente investigación administrativa el día 15 de mayo de 2025 la cual no se pudo realizar por inasistencia del quejoso, pospuesta para el día 06 de junio de 2025 y notificada mediante radicados 2-2025-25664 y 2-2025-25673 del 21 de mayo de 2025.</w:t>
      </w:r>
    </w:p>
    <w:p w14:paraId="472889D4" w14:textId="77777777" w:rsidR="00E34B4C" w:rsidRPr="00F372F0" w:rsidRDefault="00E34B4C" w:rsidP="00E34B4C">
      <w:pPr>
        <w:ind w:right="-92"/>
        <w:jc w:val="both"/>
        <w:rPr>
          <w:rFonts w:ascii="Arial" w:eastAsia="Arial" w:hAnsi="Arial" w:cs="Arial"/>
          <w:sz w:val="22"/>
          <w:szCs w:val="22"/>
        </w:rPr>
      </w:pPr>
    </w:p>
    <w:p w14:paraId="793C6AE5" w14:textId="6097172E" w:rsidR="00E34B4C" w:rsidRPr="00F372F0" w:rsidRDefault="00E34B4C" w:rsidP="00E34B4C">
      <w:pPr>
        <w:ind w:right="-92"/>
        <w:jc w:val="both"/>
        <w:rPr>
          <w:rFonts w:ascii="Arial" w:eastAsia="Arial" w:hAnsi="Arial" w:cs="Arial"/>
          <w:sz w:val="22"/>
          <w:szCs w:val="22"/>
        </w:rPr>
      </w:pPr>
      <w:r w:rsidRPr="00F372F0">
        <w:rPr>
          <w:rFonts w:ascii="Arial" w:eastAsia="Arial" w:hAnsi="Arial" w:cs="Arial"/>
          <w:sz w:val="22"/>
          <w:szCs w:val="22"/>
        </w:rPr>
        <w:t xml:space="preserve">Que, de la visita técnica, a la que asistió únicamente el señor JEISON ORLANDO JAIMES RODRIGUEZ en calidad de apoderado de la sociedad enajenadora CG CONSTRUCCIONES S.A.S., se derivó el Informe de Verificación de Hechos No. 25-344 del 15 de agosto de 2025, que evidenció </w:t>
      </w:r>
      <w:r w:rsidR="00522196">
        <w:rPr>
          <w:rFonts w:ascii="Arial" w:eastAsia="Arial" w:hAnsi="Arial" w:cs="Arial"/>
          <w:sz w:val="22"/>
          <w:szCs w:val="22"/>
        </w:rPr>
        <w:t xml:space="preserve">que el hecho ya no persiste </w:t>
      </w:r>
    </w:p>
    <w:p w14:paraId="5BB5AB98" w14:textId="77777777" w:rsidR="00E34B4C" w:rsidRPr="00F372F0" w:rsidRDefault="00E34B4C" w:rsidP="00E34B4C">
      <w:pPr>
        <w:ind w:right="-92"/>
        <w:jc w:val="both"/>
        <w:rPr>
          <w:rFonts w:ascii="Arial" w:eastAsia="Arial" w:hAnsi="Arial" w:cs="Arial"/>
          <w:sz w:val="22"/>
          <w:szCs w:val="22"/>
        </w:rPr>
      </w:pPr>
    </w:p>
    <w:p w14:paraId="6384CBAB" w14:textId="77777777" w:rsidR="00E34B4C" w:rsidRPr="00F372F0" w:rsidRDefault="00E34B4C" w:rsidP="00E34B4C">
      <w:pPr>
        <w:ind w:right="-92"/>
        <w:jc w:val="both"/>
        <w:rPr>
          <w:rFonts w:ascii="Arial" w:eastAsia="Arial" w:hAnsi="Arial" w:cs="Arial"/>
          <w:sz w:val="22"/>
          <w:szCs w:val="22"/>
        </w:rPr>
      </w:pPr>
      <w:r w:rsidRPr="00F372F0">
        <w:rPr>
          <w:rFonts w:ascii="Arial" w:eastAsia="Arial" w:hAnsi="Arial" w:cs="Arial"/>
          <w:sz w:val="22"/>
          <w:szCs w:val="22"/>
        </w:rPr>
        <w:t>Que, mediante radicados 2-2025-58241 y 2-2025-58242 del 23 de septiembre de 2025, esta Dirección dio traslado el Informe de Verificación de Hechos No. 25-344 del 15 de agosto de 2025, tanto a la parte quejosa como a la sociedad enajenadora, ante lo cual guardaron silencio.</w:t>
      </w:r>
    </w:p>
    <w:p w14:paraId="78865D13" w14:textId="77777777" w:rsidR="00E34B4C" w:rsidRPr="00F372F0" w:rsidRDefault="00E34B4C" w:rsidP="00E34B4C">
      <w:pPr>
        <w:ind w:right="-92"/>
        <w:jc w:val="both"/>
        <w:rPr>
          <w:rFonts w:ascii="Arial" w:eastAsia="Arial" w:hAnsi="Arial" w:cs="Arial"/>
          <w:sz w:val="22"/>
          <w:szCs w:val="22"/>
        </w:rPr>
      </w:pPr>
    </w:p>
    <w:p w14:paraId="55AD88B4" w14:textId="77777777" w:rsidR="00E34B4C" w:rsidRPr="00F372F0" w:rsidRDefault="00E34B4C" w:rsidP="00E34B4C">
      <w:pPr>
        <w:widowControl w:val="0"/>
        <w:ind w:right="-92"/>
        <w:jc w:val="both"/>
        <w:rPr>
          <w:rFonts w:ascii="Arial" w:eastAsia="Arial" w:hAnsi="Arial" w:cs="Arial"/>
          <w:sz w:val="22"/>
          <w:szCs w:val="22"/>
        </w:rPr>
      </w:pPr>
      <w:r w:rsidRPr="00F372F0">
        <w:rPr>
          <w:rFonts w:ascii="Arial" w:eastAsia="Arial" w:hAnsi="Arial" w:cs="Arial"/>
          <w:sz w:val="22"/>
          <w:szCs w:val="22"/>
        </w:rPr>
        <w:t>Que, de acuerdo con lo anterior, la Dirección procede a determinar si en el caso aquí analizado, resulta procedente la imposición de multas sucesivas, de conformidad a lo expuesto en el inciso segundo, numeral 9º del artículo 2º del Decreto Ley 078 de 1987</w:t>
      </w:r>
      <w:r w:rsidRPr="00F372F0">
        <w:rPr>
          <w:rFonts w:ascii="Arial" w:eastAsia="Arial" w:hAnsi="Arial" w:cs="Arial"/>
          <w:i/>
          <w:iCs/>
          <w:sz w:val="22"/>
          <w:szCs w:val="22"/>
        </w:rPr>
        <w:t xml:space="preserve">, </w:t>
      </w:r>
      <w:r w:rsidRPr="00F372F0">
        <w:rPr>
          <w:rFonts w:ascii="Arial" w:eastAsia="Arial" w:hAnsi="Arial" w:cs="Arial"/>
          <w:sz w:val="22"/>
          <w:szCs w:val="22"/>
        </w:rPr>
        <w:t>o la culminación de la actuación administrativa de seguimiento, previo el siguiente:</w:t>
      </w:r>
    </w:p>
    <w:p w14:paraId="7D624352" w14:textId="77777777" w:rsidR="00E34B4C" w:rsidRPr="00F372F0" w:rsidRDefault="00E34B4C" w:rsidP="00E34B4C">
      <w:pPr>
        <w:widowControl w:val="0"/>
        <w:ind w:right="-92"/>
        <w:jc w:val="both"/>
        <w:rPr>
          <w:rFonts w:ascii="Arial" w:eastAsia="Arial" w:hAnsi="Arial" w:cs="Arial"/>
          <w:sz w:val="22"/>
          <w:szCs w:val="22"/>
        </w:rPr>
      </w:pPr>
    </w:p>
    <w:p w14:paraId="3DBD8A24" w14:textId="77777777" w:rsidR="00E34B4C" w:rsidRPr="00F372F0" w:rsidRDefault="00E34B4C" w:rsidP="00E34B4C">
      <w:pPr>
        <w:jc w:val="center"/>
        <w:rPr>
          <w:rFonts w:ascii="Arial" w:eastAsia="Arial" w:hAnsi="Arial" w:cs="Arial"/>
          <w:b/>
          <w:bCs/>
          <w:sz w:val="22"/>
          <w:szCs w:val="22"/>
        </w:rPr>
      </w:pPr>
      <w:r w:rsidRPr="00F372F0">
        <w:rPr>
          <w:rFonts w:ascii="Arial" w:eastAsia="Arial" w:hAnsi="Arial" w:cs="Arial"/>
          <w:b/>
          <w:bCs/>
          <w:sz w:val="22"/>
          <w:szCs w:val="22"/>
        </w:rPr>
        <w:t>ANÁLISIS DEL DESPACHO</w:t>
      </w:r>
    </w:p>
    <w:p w14:paraId="2B69498B" w14:textId="77777777" w:rsidR="00E34B4C" w:rsidRPr="00F372F0" w:rsidRDefault="00E34B4C" w:rsidP="00E34B4C">
      <w:pPr>
        <w:rPr>
          <w:rFonts w:ascii="Arial" w:eastAsia="Arial" w:hAnsi="Arial" w:cs="Arial"/>
          <w:b/>
          <w:bCs/>
          <w:sz w:val="22"/>
          <w:szCs w:val="22"/>
        </w:rPr>
      </w:pPr>
    </w:p>
    <w:p w14:paraId="01371166" w14:textId="77777777" w:rsidR="00E34B4C" w:rsidRPr="00F372F0" w:rsidRDefault="00E34B4C" w:rsidP="00E34B4C">
      <w:pPr>
        <w:numPr>
          <w:ilvl w:val="0"/>
          <w:numId w:val="1"/>
        </w:numPr>
        <w:pBdr>
          <w:top w:val="nil"/>
          <w:left w:val="nil"/>
          <w:bottom w:val="nil"/>
          <w:right w:val="nil"/>
          <w:between w:val="nil"/>
        </w:pBdr>
        <w:ind w:left="700"/>
        <w:rPr>
          <w:rFonts w:ascii="Arial" w:eastAsia="Arial" w:hAnsi="Arial" w:cs="Arial"/>
          <w:b/>
          <w:bCs/>
          <w:sz w:val="22"/>
          <w:szCs w:val="22"/>
        </w:rPr>
      </w:pPr>
      <w:r w:rsidRPr="00F372F0">
        <w:rPr>
          <w:rFonts w:ascii="Arial" w:eastAsia="Arial" w:hAnsi="Arial" w:cs="Arial"/>
          <w:b/>
          <w:bCs/>
          <w:sz w:val="22"/>
          <w:szCs w:val="22"/>
        </w:rPr>
        <w:t>FUNDAMENTO LEGAL</w:t>
      </w:r>
    </w:p>
    <w:p w14:paraId="38A31680" w14:textId="77777777" w:rsidR="00E34B4C" w:rsidRPr="00F372F0" w:rsidRDefault="00E34B4C" w:rsidP="00E34B4C">
      <w:pPr>
        <w:jc w:val="center"/>
        <w:rPr>
          <w:rFonts w:ascii="Arial" w:eastAsia="Arial" w:hAnsi="Arial" w:cs="Arial"/>
          <w:b/>
          <w:bCs/>
          <w:sz w:val="22"/>
          <w:szCs w:val="22"/>
        </w:rPr>
      </w:pPr>
    </w:p>
    <w:p w14:paraId="63A2F8ED" w14:textId="77777777" w:rsidR="00E34B4C" w:rsidRPr="00F372F0" w:rsidRDefault="00E34B4C" w:rsidP="00E34B4C">
      <w:pPr>
        <w:jc w:val="both"/>
        <w:rPr>
          <w:rFonts w:ascii="Arial" w:eastAsia="Arial" w:hAnsi="Arial" w:cs="Arial"/>
          <w:b/>
          <w:bCs/>
          <w:sz w:val="22"/>
          <w:szCs w:val="22"/>
        </w:rPr>
      </w:pPr>
      <w:r w:rsidRPr="00F372F0">
        <w:rPr>
          <w:rFonts w:ascii="Arial" w:eastAsia="Arial" w:hAnsi="Arial" w:cs="Arial"/>
          <w:sz w:val="22"/>
          <w:szCs w:val="22"/>
        </w:rPr>
        <w:t>Debe esta Dirección partir de que la función de inspección, vigilancia y control sobre la actividad de enajenación de inmuebles destinados a vivienda, de conformidad con las Leyes 66 de 1968, 388 de 1997, Decretos Leyes 2610 de 1979 y 078 de 1987 y demás normas concordantes, se ejerce sobre las personas naturales o jurídicas que desarrollen la actividad de enajenación de vivienda en el Distrito, con el propósito de resguardar el orden social y amparar la observancia de la ley.</w:t>
      </w:r>
    </w:p>
    <w:p w14:paraId="7E348BE3" w14:textId="77777777" w:rsidR="00E34B4C" w:rsidRPr="00F372F0" w:rsidRDefault="00E34B4C" w:rsidP="00E34B4C">
      <w:pPr>
        <w:jc w:val="both"/>
        <w:rPr>
          <w:rFonts w:ascii="Arial" w:eastAsia="Arial" w:hAnsi="Arial" w:cs="Arial"/>
          <w:b/>
          <w:bCs/>
          <w:sz w:val="22"/>
          <w:szCs w:val="22"/>
        </w:rPr>
      </w:pPr>
    </w:p>
    <w:p w14:paraId="40E783F8" w14:textId="77777777" w:rsidR="00E34B4C" w:rsidRPr="00F372F0" w:rsidRDefault="00E34B4C" w:rsidP="00E34B4C">
      <w:pPr>
        <w:jc w:val="both"/>
        <w:rPr>
          <w:rFonts w:ascii="Arial" w:eastAsia="Arial" w:hAnsi="Arial" w:cs="Arial"/>
          <w:b/>
          <w:bCs/>
          <w:sz w:val="22"/>
          <w:szCs w:val="22"/>
        </w:rPr>
      </w:pPr>
      <w:r w:rsidRPr="00F372F0">
        <w:rPr>
          <w:rFonts w:ascii="Arial" w:eastAsia="Arial" w:hAnsi="Arial" w:cs="Arial"/>
          <w:sz w:val="22"/>
          <w:szCs w:val="22"/>
        </w:rPr>
        <w:t xml:space="preserve">Bajo este entendido, el parágrafo del artículo 111 del Decreto 653 de 2015 establece que la Subsecretaría de Inspección, Vigilancia y Control de Vivienda de la Secretaría Distrital del Hábitat, adelantará de oficio o a petición de parte las investigaciones administrativas por infracción a las normas que regulan el régimen de construcción y enajenación, autoconstrucción, arrendamiento e intermediación de vivienda, por lo que, en ejercicio de </w:t>
      </w:r>
      <w:r w:rsidRPr="00F372F0">
        <w:rPr>
          <w:rFonts w:ascii="Arial" w:eastAsia="Arial" w:hAnsi="Arial" w:cs="Arial"/>
          <w:sz w:val="22"/>
          <w:szCs w:val="22"/>
        </w:rPr>
        <w:lastRenderedPageBreak/>
        <w:t>estas funciones, esta Entidad procedió a imponer sanción mediante la Resolución No. 306 del 12 de abril de 2022, “</w:t>
      </w:r>
      <w:r w:rsidRPr="00F372F0">
        <w:rPr>
          <w:rFonts w:ascii="Arial" w:eastAsia="Arial" w:hAnsi="Arial" w:cs="Arial"/>
          <w:i/>
          <w:iCs/>
          <w:sz w:val="22"/>
          <w:szCs w:val="22"/>
        </w:rPr>
        <w:t>Por la cual se impone una sanción y se imparte una orden</w:t>
      </w:r>
      <w:r w:rsidRPr="00F372F0">
        <w:rPr>
          <w:rFonts w:ascii="Arial" w:eastAsia="Arial" w:hAnsi="Arial" w:cs="Arial"/>
          <w:sz w:val="22"/>
          <w:szCs w:val="22"/>
        </w:rPr>
        <w:t>”, a la sociedad enajenadora CG CONSTRUCTORA S.A.S</w:t>
      </w:r>
      <w:r w:rsidRPr="00F372F0">
        <w:rPr>
          <w:rFonts w:ascii="Arial" w:eastAsia="Arial" w:hAnsi="Arial" w:cs="Arial"/>
          <w:i/>
          <w:iCs/>
          <w:sz w:val="22"/>
          <w:szCs w:val="22"/>
        </w:rPr>
        <w:t xml:space="preserve">, </w:t>
      </w:r>
      <w:r w:rsidRPr="00F372F0">
        <w:rPr>
          <w:rFonts w:ascii="Arial" w:eastAsia="Arial" w:hAnsi="Arial" w:cs="Arial"/>
          <w:sz w:val="22"/>
          <w:szCs w:val="22"/>
        </w:rPr>
        <w:t>consistente en multa y orden de hacer.</w:t>
      </w:r>
    </w:p>
    <w:p w14:paraId="0CBE885B" w14:textId="77777777" w:rsidR="00E34B4C" w:rsidRPr="00F372F0" w:rsidRDefault="00E34B4C" w:rsidP="00E34B4C">
      <w:pPr>
        <w:jc w:val="both"/>
        <w:rPr>
          <w:rFonts w:ascii="Arial" w:eastAsia="Arial" w:hAnsi="Arial" w:cs="Arial"/>
          <w:b/>
          <w:bCs/>
          <w:sz w:val="22"/>
          <w:szCs w:val="22"/>
        </w:rPr>
      </w:pPr>
    </w:p>
    <w:p w14:paraId="0481B493" w14:textId="77777777" w:rsidR="00E34B4C" w:rsidRPr="00F372F0" w:rsidRDefault="00E34B4C" w:rsidP="00E34B4C">
      <w:pPr>
        <w:jc w:val="both"/>
        <w:rPr>
          <w:rFonts w:ascii="Arial" w:eastAsia="Arial" w:hAnsi="Arial" w:cs="Arial"/>
          <w:b/>
          <w:bCs/>
          <w:sz w:val="22"/>
          <w:szCs w:val="22"/>
        </w:rPr>
      </w:pPr>
      <w:r w:rsidRPr="00F372F0">
        <w:rPr>
          <w:rFonts w:ascii="Arial" w:eastAsia="Arial" w:hAnsi="Arial" w:cs="Arial"/>
          <w:sz w:val="22"/>
          <w:szCs w:val="22"/>
        </w:rPr>
        <w:t xml:space="preserve">Ahora bien, señala el artículo 126 del Decreto Distrital 653 de 2015 que, una vez ejecutoriada la actuación que imponga una orden a los enajenadores responsables de un proyecto de vivienda, y superado el término dispuesto para su cumplimiento, se adelantará el </w:t>
      </w:r>
      <w:r w:rsidRPr="00F372F0">
        <w:rPr>
          <w:rFonts w:ascii="Arial" w:eastAsia="Arial" w:hAnsi="Arial" w:cs="Arial"/>
          <w:b/>
          <w:bCs/>
          <w:sz w:val="22"/>
          <w:szCs w:val="22"/>
        </w:rPr>
        <w:t>SEGUIMIENTO A LA ORDEN</w:t>
      </w:r>
      <w:r w:rsidRPr="00F372F0">
        <w:rPr>
          <w:rFonts w:ascii="Arial" w:eastAsia="Arial" w:hAnsi="Arial" w:cs="Arial"/>
          <w:sz w:val="22"/>
          <w:szCs w:val="22"/>
        </w:rPr>
        <w:t xml:space="preserve"> para corroborar el cumplimiento del acto administrativo que la impuso.</w:t>
      </w:r>
    </w:p>
    <w:p w14:paraId="7EF910A3" w14:textId="77777777" w:rsidR="00E34B4C" w:rsidRPr="00F372F0" w:rsidRDefault="00E34B4C" w:rsidP="00E34B4C">
      <w:pPr>
        <w:jc w:val="both"/>
        <w:rPr>
          <w:rFonts w:ascii="Arial" w:eastAsia="Arial" w:hAnsi="Arial" w:cs="Arial"/>
          <w:b/>
          <w:bCs/>
          <w:sz w:val="22"/>
          <w:szCs w:val="22"/>
        </w:rPr>
      </w:pPr>
    </w:p>
    <w:p w14:paraId="340047FC" w14:textId="77777777" w:rsidR="00E34B4C" w:rsidRPr="00F372F0" w:rsidRDefault="00E34B4C" w:rsidP="00E34B4C">
      <w:pPr>
        <w:jc w:val="both"/>
        <w:rPr>
          <w:rFonts w:ascii="Arial" w:eastAsia="Arial" w:hAnsi="Arial" w:cs="Arial"/>
          <w:b/>
          <w:bCs/>
          <w:sz w:val="22"/>
          <w:szCs w:val="22"/>
        </w:rPr>
      </w:pPr>
      <w:r w:rsidRPr="00F372F0">
        <w:rPr>
          <w:rFonts w:ascii="Arial" w:eastAsia="Arial" w:hAnsi="Arial" w:cs="Arial"/>
          <w:sz w:val="22"/>
          <w:szCs w:val="22"/>
        </w:rPr>
        <w:t xml:space="preserve">Para el seguimiento a la orden, el artículo 2, numeral 9 del Decreto Ley 078 de 1987, en concordancia con el artículo 28 de la Ley 66 de 1968, modificado por el artículo 11 del Decreto Ley 2610 de 1979, establece la imposición de multas sucesivas de diez mil pesos ($10.000.oo) a quinientos mil pesos ($500.000.oo) M/cte., a las personas o entidades que </w:t>
      </w:r>
      <w:r w:rsidRPr="00F372F0">
        <w:rPr>
          <w:rFonts w:ascii="Arial" w:eastAsia="Arial" w:hAnsi="Arial" w:cs="Arial"/>
          <w:b/>
          <w:bCs/>
          <w:sz w:val="22"/>
          <w:szCs w:val="22"/>
          <w:u w:val="single"/>
        </w:rPr>
        <w:t>incumplan las órdenes</w:t>
      </w:r>
      <w:r w:rsidRPr="00F372F0">
        <w:rPr>
          <w:rFonts w:ascii="Arial" w:eastAsia="Arial" w:hAnsi="Arial" w:cs="Arial"/>
          <w:sz w:val="22"/>
          <w:szCs w:val="22"/>
        </w:rPr>
        <w:t xml:space="preserve"> o requerimientos que en uso de las facultades de inspección y vigilancia expida la autoridad de vivienda, para que se sujeten a las normas exigidas por las autoridades nacionales, departamentales, metropolitanas, municipales y distritales y/o para que se ajusten a las prescripciones de la Ley 66 de 1968. </w:t>
      </w:r>
    </w:p>
    <w:p w14:paraId="09D65150" w14:textId="77777777" w:rsidR="00E34B4C" w:rsidRPr="00F372F0" w:rsidRDefault="00E34B4C" w:rsidP="00E34B4C">
      <w:pPr>
        <w:jc w:val="both"/>
        <w:rPr>
          <w:rFonts w:ascii="Arial" w:eastAsia="Arial" w:hAnsi="Arial" w:cs="Arial"/>
          <w:b/>
          <w:bCs/>
          <w:sz w:val="22"/>
          <w:szCs w:val="22"/>
        </w:rPr>
      </w:pPr>
    </w:p>
    <w:p w14:paraId="7DFA1777" w14:textId="77777777" w:rsidR="00E34B4C" w:rsidRPr="00F372F0" w:rsidRDefault="00E34B4C" w:rsidP="00E34B4C">
      <w:pPr>
        <w:jc w:val="both"/>
        <w:rPr>
          <w:rFonts w:ascii="Arial" w:eastAsia="Arial" w:hAnsi="Arial" w:cs="Arial"/>
          <w:b/>
          <w:bCs/>
          <w:sz w:val="22"/>
          <w:szCs w:val="22"/>
        </w:rPr>
      </w:pPr>
      <w:r w:rsidRPr="00F372F0">
        <w:rPr>
          <w:rFonts w:ascii="Arial" w:eastAsia="Arial" w:hAnsi="Arial" w:cs="Arial"/>
          <w:sz w:val="22"/>
          <w:szCs w:val="22"/>
        </w:rPr>
        <w:t xml:space="preserve">En el mismo sentido, el artículo 90 de la Ley 1437 de 2011, Código de Procedimiento Administrativo y de lo Contencioso Administrativo, establece que, sin perjuicio de lo dispuesto en leyes especiales, cuando un acto administrativo imponga una obligación no dineraria a un particular y este se resistiere a cumplirla, la autoridad que expidió el acto le impondrá multas sucesivas mientras permanezca en rebeldía, concediéndole plazos razonables para que cumpla lo ordenado. </w:t>
      </w:r>
    </w:p>
    <w:p w14:paraId="7E633347" w14:textId="77777777" w:rsidR="00E34B4C" w:rsidRPr="00F372F0" w:rsidRDefault="00E34B4C" w:rsidP="00E34B4C">
      <w:pPr>
        <w:jc w:val="both"/>
        <w:rPr>
          <w:rFonts w:ascii="Arial" w:eastAsia="Arial" w:hAnsi="Arial" w:cs="Arial"/>
          <w:b/>
          <w:bCs/>
          <w:sz w:val="22"/>
          <w:szCs w:val="22"/>
        </w:rPr>
      </w:pPr>
    </w:p>
    <w:p w14:paraId="3EB31F28" w14:textId="77777777" w:rsidR="00E34B4C" w:rsidRPr="00F372F0" w:rsidRDefault="00E34B4C" w:rsidP="00E34B4C">
      <w:pPr>
        <w:jc w:val="both"/>
        <w:rPr>
          <w:rFonts w:ascii="Arial" w:eastAsia="Arial" w:hAnsi="Arial" w:cs="Arial"/>
          <w:b/>
          <w:bCs/>
          <w:sz w:val="22"/>
          <w:szCs w:val="22"/>
        </w:rPr>
      </w:pPr>
      <w:r w:rsidRPr="00F372F0">
        <w:rPr>
          <w:rFonts w:ascii="Arial" w:eastAsia="Arial" w:hAnsi="Arial" w:cs="Arial"/>
          <w:sz w:val="22"/>
          <w:szCs w:val="22"/>
        </w:rPr>
        <w:t>En concordancia con lo expresado, viendo que de las actuaciones adelantadas no se desprende causal de nulidad alguna en el procedimiento, procede este Despacho a realizar el estudio de los elementos probatorios recaudados por esta Dirección, sobre los hechos objeto de la orden de hacer contenidos en la Resolución No. 306 del 12 de abril de 2022 “</w:t>
      </w:r>
      <w:r w:rsidRPr="00F372F0">
        <w:rPr>
          <w:rFonts w:ascii="Arial" w:eastAsia="Arial" w:hAnsi="Arial" w:cs="Arial"/>
          <w:i/>
          <w:iCs/>
          <w:sz w:val="22"/>
          <w:szCs w:val="22"/>
        </w:rPr>
        <w:t>Por la cual se impone una sanción y se imparte una orden</w:t>
      </w:r>
      <w:r w:rsidRPr="00F372F0">
        <w:rPr>
          <w:rFonts w:ascii="Arial" w:eastAsia="Arial" w:hAnsi="Arial" w:cs="Arial"/>
          <w:sz w:val="22"/>
          <w:szCs w:val="22"/>
        </w:rPr>
        <w:t>” con el fin de determinar si existe mérito para imposición de nuevas multas o si se ha dado cumplimiento a la orden de hacer.</w:t>
      </w:r>
    </w:p>
    <w:p w14:paraId="78BF1ED0" w14:textId="77777777" w:rsidR="00E34B4C" w:rsidRPr="00F372F0" w:rsidRDefault="00E34B4C" w:rsidP="00E34B4C">
      <w:pPr>
        <w:jc w:val="both"/>
        <w:rPr>
          <w:rFonts w:ascii="Arial" w:eastAsia="Arial" w:hAnsi="Arial" w:cs="Arial"/>
          <w:b/>
          <w:bCs/>
          <w:sz w:val="22"/>
          <w:szCs w:val="22"/>
        </w:rPr>
      </w:pPr>
    </w:p>
    <w:p w14:paraId="570E173C" w14:textId="77777777" w:rsidR="00E34B4C" w:rsidRPr="00F372F0" w:rsidRDefault="00E34B4C" w:rsidP="00E34B4C">
      <w:pPr>
        <w:pStyle w:val="Prrafodelista"/>
        <w:numPr>
          <w:ilvl w:val="0"/>
          <w:numId w:val="2"/>
        </w:numPr>
        <w:ind w:left="700"/>
        <w:rPr>
          <w:rFonts w:ascii="Arial" w:eastAsia="Arial" w:hAnsi="Arial" w:cs="Arial"/>
          <w:b/>
          <w:bCs/>
          <w:sz w:val="22"/>
          <w:szCs w:val="22"/>
        </w:rPr>
      </w:pPr>
      <w:r w:rsidRPr="00F372F0">
        <w:rPr>
          <w:rFonts w:ascii="Arial" w:eastAsia="Arial" w:hAnsi="Arial" w:cs="Arial"/>
          <w:b/>
          <w:bCs/>
          <w:sz w:val="22"/>
          <w:szCs w:val="22"/>
        </w:rPr>
        <w:t xml:space="preserve">ANÁLISIS PROBATORIO </w:t>
      </w:r>
    </w:p>
    <w:p w14:paraId="529E346F" w14:textId="77777777" w:rsidR="00E34B4C" w:rsidRPr="00F372F0" w:rsidRDefault="00E34B4C" w:rsidP="00E34B4C">
      <w:pPr>
        <w:jc w:val="both"/>
        <w:rPr>
          <w:rFonts w:ascii="Arial" w:eastAsia="Arial" w:hAnsi="Arial" w:cs="Arial"/>
          <w:b/>
          <w:bCs/>
          <w:sz w:val="22"/>
          <w:szCs w:val="22"/>
        </w:rPr>
      </w:pPr>
      <w:bookmarkStart w:id="6" w:name="_heading=h.cat3natc13wk" w:colFirst="0" w:colLast="0"/>
      <w:bookmarkEnd w:id="6"/>
    </w:p>
    <w:p w14:paraId="1A4E65C9" w14:textId="77777777" w:rsidR="00E34B4C" w:rsidRPr="00F372F0" w:rsidRDefault="00E34B4C" w:rsidP="00E34B4C">
      <w:pPr>
        <w:jc w:val="both"/>
        <w:rPr>
          <w:rFonts w:ascii="Arial" w:eastAsia="Arial" w:hAnsi="Arial" w:cs="Arial"/>
          <w:sz w:val="22"/>
          <w:szCs w:val="22"/>
          <w:highlight w:val="white"/>
        </w:rPr>
      </w:pPr>
      <w:r w:rsidRPr="00F372F0">
        <w:rPr>
          <w:rFonts w:ascii="Arial" w:eastAsia="Arial" w:hAnsi="Arial" w:cs="Arial"/>
          <w:sz w:val="22"/>
          <w:szCs w:val="22"/>
        </w:rPr>
        <w:t>Como se ha establecido, dentro de la actuación administrativa obra el Informe de Verificación de Hechos No. 25-344 del 15 de agosto de 2025, el cual indicó que</w:t>
      </w:r>
      <w:r w:rsidRPr="00F372F0">
        <w:rPr>
          <w:rFonts w:ascii="Arial" w:eastAsia="Arial" w:hAnsi="Arial" w:cs="Arial"/>
          <w:sz w:val="22"/>
          <w:szCs w:val="22"/>
          <w:highlight w:val="white"/>
        </w:rPr>
        <w:t xml:space="preserve">: </w:t>
      </w:r>
    </w:p>
    <w:p w14:paraId="4CA3933B" w14:textId="77777777" w:rsidR="00E34B4C" w:rsidRPr="00F372F0" w:rsidRDefault="00E34B4C" w:rsidP="00E34B4C">
      <w:pPr>
        <w:jc w:val="both"/>
        <w:rPr>
          <w:rFonts w:ascii="Arial" w:eastAsia="Arial" w:hAnsi="Arial" w:cs="Arial"/>
          <w:sz w:val="22"/>
          <w:szCs w:val="22"/>
          <w:highlight w:val="white"/>
        </w:rPr>
      </w:pPr>
    </w:p>
    <w:p w14:paraId="3A5415A7" w14:textId="77777777" w:rsidR="00E34B4C" w:rsidRPr="008C1FA1" w:rsidRDefault="00E34B4C" w:rsidP="00E34B4C">
      <w:pPr>
        <w:ind w:right="-92"/>
        <w:jc w:val="center"/>
        <w:rPr>
          <w:rFonts w:ascii="Arial" w:eastAsia="Arial" w:hAnsi="Arial" w:cs="Arial"/>
          <w:i/>
          <w:iCs/>
          <w:sz w:val="21"/>
          <w:szCs w:val="21"/>
        </w:rPr>
      </w:pPr>
      <w:r w:rsidRPr="008C1FA1">
        <w:rPr>
          <w:rFonts w:ascii="Arial" w:eastAsia="Arial" w:hAnsi="Arial" w:cs="Arial"/>
          <w:i/>
          <w:iCs/>
          <w:sz w:val="21"/>
          <w:szCs w:val="21"/>
        </w:rPr>
        <w:t>HALLAZGO</w:t>
      </w:r>
    </w:p>
    <w:p w14:paraId="46CF6BA1" w14:textId="77777777" w:rsidR="00E34B4C" w:rsidRPr="008C1FA1" w:rsidRDefault="00E34B4C" w:rsidP="00E34B4C">
      <w:pPr>
        <w:ind w:right="-92"/>
        <w:jc w:val="both"/>
        <w:rPr>
          <w:rFonts w:ascii="Arial" w:eastAsia="Arial" w:hAnsi="Arial" w:cs="Arial"/>
          <w:sz w:val="21"/>
          <w:szCs w:val="21"/>
        </w:rPr>
      </w:pPr>
    </w:p>
    <w:p w14:paraId="1E60CFAA" w14:textId="77777777" w:rsidR="00E34B4C" w:rsidRPr="008C1FA1" w:rsidRDefault="00E34B4C" w:rsidP="00E34B4C">
      <w:pPr>
        <w:ind w:left="624" w:right="680"/>
        <w:jc w:val="both"/>
        <w:rPr>
          <w:rFonts w:ascii="Arial" w:eastAsia="Arial" w:hAnsi="Arial" w:cs="Arial"/>
          <w:b/>
          <w:bCs/>
          <w:i/>
          <w:iCs/>
          <w:sz w:val="21"/>
          <w:szCs w:val="21"/>
          <w:u w:val="single"/>
        </w:rPr>
      </w:pPr>
      <w:r w:rsidRPr="008C1FA1">
        <w:rPr>
          <w:rFonts w:ascii="Arial" w:eastAsia="Arial" w:hAnsi="Arial" w:cs="Arial"/>
          <w:b/>
          <w:bCs/>
          <w:i/>
          <w:iCs/>
          <w:sz w:val="21"/>
          <w:szCs w:val="21"/>
          <w:u w:val="single"/>
        </w:rPr>
        <w:t>1. FALTA DE MEDIDORES DE AGUA.</w:t>
      </w:r>
    </w:p>
    <w:p w14:paraId="030B6DE0" w14:textId="77777777" w:rsidR="00E34B4C" w:rsidRPr="008C1FA1" w:rsidRDefault="00E34B4C" w:rsidP="00E34B4C">
      <w:pPr>
        <w:ind w:left="624" w:right="680"/>
        <w:jc w:val="both"/>
        <w:rPr>
          <w:rFonts w:ascii="Arial" w:eastAsia="Arial" w:hAnsi="Arial" w:cs="Arial"/>
          <w:i/>
          <w:iCs/>
          <w:sz w:val="21"/>
          <w:szCs w:val="21"/>
        </w:rPr>
      </w:pPr>
    </w:p>
    <w:p w14:paraId="6882D7EE" w14:textId="77777777" w:rsidR="00E34B4C" w:rsidRPr="008C1FA1" w:rsidRDefault="00E34B4C" w:rsidP="00E34B4C">
      <w:pPr>
        <w:ind w:left="624" w:right="680"/>
        <w:jc w:val="both"/>
        <w:rPr>
          <w:rFonts w:ascii="Arial" w:eastAsia="Arial" w:hAnsi="Arial" w:cs="Arial"/>
          <w:i/>
          <w:iCs/>
          <w:sz w:val="21"/>
          <w:szCs w:val="21"/>
        </w:rPr>
      </w:pPr>
      <w:r w:rsidRPr="008C1FA1">
        <w:rPr>
          <w:rFonts w:ascii="Arial" w:eastAsia="Arial" w:hAnsi="Arial" w:cs="Arial"/>
          <w:i/>
          <w:iCs/>
          <w:sz w:val="21"/>
          <w:szCs w:val="21"/>
        </w:rPr>
        <w:lastRenderedPageBreak/>
        <w:t>Este hecho se relaciona con falta de Medidores de Agua en el apartamento 603 bloque G interior 4, como base el Informe de Verificación de Hechos No 19-194 del 20 de noviembre de 2019 (Folios 17 - 18 y 19). A la visita asiste el representante de la sociedad enajenadora el señor JEYSON ORLANDO JAIMES RODRIGUEZ, el propietario se encontraba el apartamento, pero indico que no tenía tiempo de atender la visita, el representante de la sociedad enajenadora indica que los Medidores de Agua fueron Instalados en el año 2022, los Medidores se encontraban en el pasillo del piso sexto, por lo cual se pudo verificar la existencia de estos como se evidencia en el siguiente registro fotográfico.</w:t>
      </w:r>
    </w:p>
    <w:p w14:paraId="7EA2B015" w14:textId="77777777" w:rsidR="00E34B4C" w:rsidRPr="008C1FA1" w:rsidRDefault="00E34B4C" w:rsidP="00E34B4C">
      <w:pPr>
        <w:ind w:left="624" w:right="680"/>
        <w:jc w:val="both"/>
        <w:rPr>
          <w:rFonts w:ascii="Arial" w:eastAsia="Arial" w:hAnsi="Arial" w:cs="Arial"/>
          <w:i/>
          <w:iCs/>
          <w:sz w:val="21"/>
          <w:szCs w:val="21"/>
        </w:rPr>
      </w:pPr>
    </w:p>
    <w:p w14:paraId="424A18AE" w14:textId="77777777" w:rsidR="00E34B4C" w:rsidRPr="008C1FA1" w:rsidRDefault="00E34B4C" w:rsidP="00E34B4C">
      <w:pPr>
        <w:ind w:left="624" w:right="680"/>
        <w:jc w:val="both"/>
        <w:rPr>
          <w:rFonts w:ascii="Arial" w:eastAsia="Arial" w:hAnsi="Arial" w:cs="Arial"/>
          <w:i/>
          <w:iCs/>
          <w:sz w:val="21"/>
          <w:szCs w:val="21"/>
        </w:rPr>
      </w:pPr>
      <w:r w:rsidRPr="008C1FA1">
        <w:rPr>
          <w:rFonts w:ascii="Arial" w:eastAsia="Arial" w:hAnsi="Arial" w:cs="Arial"/>
          <w:i/>
          <w:iCs/>
          <w:sz w:val="21"/>
          <w:szCs w:val="21"/>
        </w:rPr>
        <w:t xml:space="preserve">En razón a lo descrito anteriormente, y como resultado de la verificación e inspección realizada, se tiene que el hecho relacionado; "FALTA DE MEDIDORES DE AGUA", este hecho fue subsanado у </w:t>
      </w:r>
      <w:r w:rsidRPr="008C1FA1">
        <w:rPr>
          <w:rFonts w:ascii="Arial" w:eastAsia="Arial" w:hAnsi="Arial" w:cs="Arial"/>
          <w:b/>
          <w:bCs/>
          <w:i/>
          <w:iCs/>
          <w:sz w:val="21"/>
          <w:szCs w:val="21"/>
          <w:u w:val="single"/>
        </w:rPr>
        <w:t>NO PERSISTE</w:t>
      </w:r>
      <w:r w:rsidRPr="008C1FA1">
        <w:rPr>
          <w:rFonts w:ascii="Arial" w:eastAsia="Arial" w:hAnsi="Arial" w:cs="Arial"/>
          <w:i/>
          <w:iCs/>
          <w:sz w:val="21"/>
          <w:szCs w:val="21"/>
        </w:rPr>
        <w:t>.”.</w:t>
      </w:r>
    </w:p>
    <w:p w14:paraId="2FA19936" w14:textId="77777777" w:rsidR="00E34B4C" w:rsidRPr="00F372F0" w:rsidRDefault="00E34B4C" w:rsidP="00E34B4C">
      <w:pPr>
        <w:ind w:left="720"/>
        <w:jc w:val="both"/>
        <w:rPr>
          <w:rFonts w:ascii="Arial" w:eastAsia="Arial" w:hAnsi="Arial" w:cs="Arial"/>
          <w:i/>
          <w:iCs/>
          <w:sz w:val="22"/>
          <w:szCs w:val="22"/>
        </w:rPr>
      </w:pPr>
    </w:p>
    <w:p w14:paraId="657F89D3" w14:textId="77777777" w:rsidR="00E34B4C" w:rsidRPr="00F372F0" w:rsidRDefault="00E34B4C" w:rsidP="00E34B4C">
      <w:pPr>
        <w:jc w:val="both"/>
        <w:rPr>
          <w:rFonts w:ascii="Arial" w:eastAsia="Arial" w:hAnsi="Arial" w:cs="Arial"/>
          <w:sz w:val="22"/>
          <w:szCs w:val="22"/>
        </w:rPr>
      </w:pPr>
      <w:r w:rsidRPr="00F372F0">
        <w:rPr>
          <w:rFonts w:ascii="Arial" w:eastAsia="Arial" w:hAnsi="Arial" w:cs="Arial"/>
          <w:sz w:val="22"/>
          <w:szCs w:val="22"/>
        </w:rPr>
        <w:t>Es necesario mencionar que, la sociedad enajenadora asistió a la visita oportunamente, mientras que la parte quejosa se manifestó aduciendo que, aunque se encontraba en el inmueble no deseaba atender la cita, aun así, la verificación de hechos fue llevada a cabo pues los medidores de agua objeto de la visita, se encontraban fuera del inmueble.</w:t>
      </w:r>
    </w:p>
    <w:p w14:paraId="68D7625B" w14:textId="77777777" w:rsidR="00E34B4C" w:rsidRPr="00F372F0" w:rsidRDefault="00E34B4C" w:rsidP="00E34B4C">
      <w:pPr>
        <w:jc w:val="both"/>
        <w:rPr>
          <w:rFonts w:ascii="Arial" w:eastAsia="Arial" w:hAnsi="Arial" w:cs="Arial"/>
          <w:sz w:val="22"/>
          <w:szCs w:val="22"/>
        </w:rPr>
      </w:pPr>
    </w:p>
    <w:p w14:paraId="29E51CD2" w14:textId="77777777" w:rsidR="00E34B4C" w:rsidRPr="00F372F0" w:rsidRDefault="00E34B4C" w:rsidP="00E34B4C">
      <w:pPr>
        <w:widowControl w:val="0"/>
        <w:spacing w:after="160"/>
        <w:jc w:val="both"/>
        <w:rPr>
          <w:rFonts w:ascii="Arial" w:eastAsia="Arial" w:hAnsi="Arial" w:cs="Arial"/>
          <w:b/>
          <w:bCs/>
          <w:sz w:val="22"/>
          <w:szCs w:val="22"/>
        </w:rPr>
      </w:pPr>
      <w:r w:rsidRPr="00F372F0">
        <w:rPr>
          <w:rFonts w:ascii="Arial" w:eastAsia="Arial" w:hAnsi="Arial" w:cs="Arial"/>
          <w:sz w:val="22"/>
          <w:szCs w:val="22"/>
        </w:rPr>
        <w:t>Debe recordarse además que, conforme al artículo 3º del Código de Procedimiento Administrativo y de lo Contencioso Administrativo y al artículo 167 del Código General del Proceso, la carga de la prueba en sede administrativa se distribuye dinámicamente entre las partes, en virtud del deber de colaboración y de buena fe, por lo que el ciudadano no puede permanecer pasivo frente a las solicitudes de la autoridad, especialmente cuando estas buscan garantizar sus propios derechos.</w:t>
      </w:r>
    </w:p>
    <w:p w14:paraId="558F5D02" w14:textId="77777777" w:rsidR="00E34B4C" w:rsidRPr="00F372F0" w:rsidRDefault="00E34B4C" w:rsidP="00E34B4C">
      <w:pPr>
        <w:jc w:val="both"/>
        <w:rPr>
          <w:rFonts w:ascii="Arial" w:eastAsia="Arial" w:hAnsi="Arial" w:cs="Arial"/>
          <w:b/>
          <w:bCs/>
          <w:i/>
          <w:iCs/>
          <w:sz w:val="22"/>
          <w:szCs w:val="22"/>
        </w:rPr>
      </w:pPr>
      <w:r w:rsidRPr="00F372F0">
        <w:rPr>
          <w:rFonts w:ascii="Arial" w:eastAsia="Arial" w:hAnsi="Arial" w:cs="Arial"/>
          <w:sz w:val="22"/>
          <w:szCs w:val="22"/>
        </w:rPr>
        <w:t xml:space="preserve">Se tiene que, de acuerdo con el Informe de Verificación de hechos, que las deficiencias constructivas fueron realizadas por la parte enajenadora, pero cabe mencionar que es claro para esta entidad, que es una obligación de la parte quejosa participar activamente del proceso, contar con la disposición para facilitar al despacho los trabajos investigativos y demás, lo cual no fue ejercido en este caso por la parte quejosa. Esto no desmerita de que la constructora deba corregir las deficiencias de las construcciones de las viviendas enajenadas y cumplir con las condiciones de calidad, adoptando las condiciones técnicas señaladas en el Decreto 572 de 2015 y al acto administrativo sancionatorio que impuso la obligación, pero de acuerdo con la citada acreditación y la pasividad de la parte quejosa, los hechos ya no persisten, razón por la cual, no queda otro camino que culminar la presente actuación. </w:t>
      </w:r>
    </w:p>
    <w:p w14:paraId="77F002D2" w14:textId="77777777" w:rsidR="00E34B4C" w:rsidRPr="00F372F0" w:rsidRDefault="00E34B4C" w:rsidP="00E34B4C">
      <w:pPr>
        <w:rPr>
          <w:rFonts w:ascii="Arial" w:eastAsia="Arial" w:hAnsi="Arial" w:cs="Arial"/>
          <w:sz w:val="22"/>
          <w:szCs w:val="22"/>
        </w:rPr>
      </w:pPr>
    </w:p>
    <w:p w14:paraId="4DA91E1C" w14:textId="77777777" w:rsidR="00E34B4C" w:rsidRPr="00F372F0" w:rsidRDefault="00E34B4C" w:rsidP="00E34B4C">
      <w:pPr>
        <w:jc w:val="both"/>
        <w:rPr>
          <w:rFonts w:ascii="Arial" w:eastAsia="Arial" w:hAnsi="Arial" w:cs="Arial"/>
          <w:b/>
          <w:bCs/>
          <w:sz w:val="22"/>
          <w:szCs w:val="22"/>
        </w:rPr>
      </w:pPr>
      <w:r w:rsidRPr="00F372F0">
        <w:rPr>
          <w:rFonts w:ascii="Arial" w:eastAsia="Arial" w:hAnsi="Arial" w:cs="Arial"/>
          <w:sz w:val="22"/>
          <w:szCs w:val="22"/>
        </w:rPr>
        <w:t>En consecuencia, se entiende cumplida la orden de hacer impartida en la Resolución No. 306 del 12 de abril de 2022 “</w:t>
      </w:r>
      <w:r w:rsidRPr="00F372F0">
        <w:rPr>
          <w:rFonts w:ascii="Arial" w:eastAsia="Arial" w:hAnsi="Arial" w:cs="Arial"/>
          <w:i/>
          <w:iCs/>
          <w:sz w:val="22"/>
          <w:szCs w:val="22"/>
        </w:rPr>
        <w:t>Por la cual se impone una sanción y se imparte una orden</w:t>
      </w:r>
      <w:r w:rsidRPr="00F372F0">
        <w:rPr>
          <w:rFonts w:ascii="Arial" w:eastAsia="Arial" w:hAnsi="Arial" w:cs="Arial"/>
          <w:sz w:val="22"/>
          <w:szCs w:val="22"/>
        </w:rPr>
        <w:t>” por parte de la sociedad enajenadora por lo cual no resulta necesario adelantar nuevas actuaciones de seguimiento.</w:t>
      </w:r>
    </w:p>
    <w:p w14:paraId="6BF500B2" w14:textId="77777777" w:rsidR="00E34B4C" w:rsidRPr="00F372F0" w:rsidRDefault="00E34B4C" w:rsidP="00E34B4C">
      <w:pPr>
        <w:jc w:val="both"/>
        <w:rPr>
          <w:rFonts w:ascii="Arial" w:eastAsia="Arial" w:hAnsi="Arial" w:cs="Arial"/>
          <w:b/>
          <w:bCs/>
          <w:sz w:val="22"/>
          <w:szCs w:val="22"/>
        </w:rPr>
      </w:pPr>
    </w:p>
    <w:p w14:paraId="3128956A" w14:textId="77777777" w:rsidR="00E34B4C" w:rsidRPr="00F372F0" w:rsidRDefault="00E34B4C" w:rsidP="00E34B4C">
      <w:pPr>
        <w:jc w:val="both"/>
        <w:rPr>
          <w:rFonts w:ascii="Arial" w:eastAsia="Arial" w:hAnsi="Arial" w:cs="Arial"/>
          <w:b/>
          <w:bCs/>
          <w:sz w:val="22"/>
          <w:szCs w:val="22"/>
        </w:rPr>
      </w:pPr>
      <w:r w:rsidRPr="00F372F0">
        <w:rPr>
          <w:rFonts w:ascii="Arial" w:eastAsia="Arial" w:hAnsi="Arial" w:cs="Arial"/>
          <w:sz w:val="22"/>
          <w:szCs w:val="22"/>
        </w:rPr>
        <w:t xml:space="preserve">Por otro lado, es preciso señalar que en cada una de las actuaciones adelantadas se le han dado todas las garantías tanto al enajenador como a la parte querellante en el transcurso </w:t>
      </w:r>
      <w:r w:rsidRPr="00F372F0">
        <w:rPr>
          <w:rFonts w:ascii="Arial" w:eastAsia="Arial" w:hAnsi="Arial" w:cs="Arial"/>
          <w:sz w:val="22"/>
          <w:szCs w:val="22"/>
        </w:rPr>
        <w:lastRenderedPageBreak/>
        <w:t>de la investigación, respetando el debido proceso (Art. 29 de la C.N.), el cual debe ser observado en todo tipo de actuaciones administrativas; para una mayor claridad al respecto la Corte Constitucional ha expuesto en numerosas jurisprudencias el alcance del principio constitucional del debido proceso.</w:t>
      </w:r>
    </w:p>
    <w:p w14:paraId="7CF8DAF2" w14:textId="77777777" w:rsidR="00E34B4C" w:rsidRPr="00F372F0" w:rsidRDefault="00E34B4C" w:rsidP="00E34B4C">
      <w:pPr>
        <w:jc w:val="both"/>
        <w:rPr>
          <w:rFonts w:ascii="Arial" w:eastAsia="Arial" w:hAnsi="Arial" w:cs="Arial"/>
          <w:b/>
          <w:bCs/>
          <w:sz w:val="22"/>
          <w:szCs w:val="22"/>
        </w:rPr>
      </w:pPr>
    </w:p>
    <w:p w14:paraId="71F47524" w14:textId="77777777" w:rsidR="00E34B4C" w:rsidRPr="00F372F0" w:rsidRDefault="00E34B4C" w:rsidP="00E34B4C">
      <w:pPr>
        <w:jc w:val="both"/>
        <w:rPr>
          <w:rFonts w:ascii="Arial" w:eastAsia="Arial" w:hAnsi="Arial" w:cs="Arial"/>
          <w:b/>
          <w:bCs/>
          <w:sz w:val="22"/>
          <w:szCs w:val="22"/>
        </w:rPr>
      </w:pPr>
      <w:r w:rsidRPr="00F372F0">
        <w:rPr>
          <w:rFonts w:ascii="Arial" w:eastAsia="Arial" w:hAnsi="Arial" w:cs="Arial"/>
          <w:sz w:val="22"/>
          <w:szCs w:val="22"/>
        </w:rPr>
        <w:t xml:space="preserve">En efecto, para que esta Dirección proceda a eliminar o eximir a un vigilado del cumplimiento de una orden de hacer es menester que se constante alguna de las siguientes circunstancias: </w:t>
      </w:r>
      <w:r w:rsidRPr="00F372F0">
        <w:rPr>
          <w:rFonts w:ascii="Arial" w:eastAsia="Arial" w:hAnsi="Arial" w:cs="Arial"/>
          <w:b/>
          <w:bCs/>
          <w:sz w:val="22"/>
          <w:szCs w:val="22"/>
        </w:rPr>
        <w:t xml:space="preserve">i) que dicha acción se ha cumplido o ii) que la misma es imposible de realizar, </w:t>
      </w:r>
      <w:r w:rsidRPr="00F372F0">
        <w:rPr>
          <w:rFonts w:ascii="Arial" w:eastAsia="Arial" w:hAnsi="Arial" w:cs="Arial"/>
          <w:sz w:val="22"/>
          <w:szCs w:val="22"/>
        </w:rPr>
        <w:t>como ha quedado probado.</w:t>
      </w:r>
      <w:r w:rsidRPr="00F372F0">
        <w:rPr>
          <w:rFonts w:ascii="Arial" w:eastAsia="Arial" w:hAnsi="Arial" w:cs="Arial"/>
          <w:b/>
          <w:bCs/>
          <w:sz w:val="22"/>
          <w:szCs w:val="22"/>
        </w:rPr>
        <w:t xml:space="preserve"> </w:t>
      </w:r>
      <w:r w:rsidRPr="00F372F0">
        <w:rPr>
          <w:rFonts w:ascii="Arial" w:eastAsia="Arial" w:hAnsi="Arial" w:cs="Arial"/>
          <w:sz w:val="22"/>
          <w:szCs w:val="22"/>
        </w:rPr>
        <w:t xml:space="preserve"> </w:t>
      </w:r>
    </w:p>
    <w:p w14:paraId="4A3ED067" w14:textId="77777777" w:rsidR="00E34B4C" w:rsidRPr="00F372F0" w:rsidRDefault="00E34B4C" w:rsidP="00E34B4C">
      <w:pPr>
        <w:jc w:val="both"/>
        <w:rPr>
          <w:rFonts w:ascii="Arial" w:eastAsia="Arial" w:hAnsi="Arial" w:cs="Arial"/>
          <w:b/>
          <w:bCs/>
          <w:sz w:val="22"/>
          <w:szCs w:val="22"/>
        </w:rPr>
      </w:pPr>
    </w:p>
    <w:p w14:paraId="66CDCFAA" w14:textId="77777777" w:rsidR="00E34B4C" w:rsidRPr="00F372F0" w:rsidRDefault="00E34B4C" w:rsidP="00E34B4C">
      <w:pPr>
        <w:jc w:val="both"/>
        <w:rPr>
          <w:rFonts w:ascii="Arial" w:eastAsia="Arial" w:hAnsi="Arial" w:cs="Arial"/>
          <w:b/>
          <w:bCs/>
          <w:sz w:val="22"/>
          <w:szCs w:val="22"/>
        </w:rPr>
      </w:pPr>
      <w:r w:rsidRPr="00F372F0">
        <w:rPr>
          <w:rFonts w:ascii="Arial" w:eastAsia="Arial" w:hAnsi="Arial" w:cs="Arial"/>
          <w:sz w:val="22"/>
          <w:szCs w:val="22"/>
        </w:rPr>
        <w:t xml:space="preserve">Así pues, dado que, en la acreditación de cumplimiento a través del informe de verificación de hechos No. 25-344 del 15 de agosto de 2025, como se ha dicho, se evidencia </w:t>
      </w:r>
      <w:r w:rsidRPr="00F372F0">
        <w:rPr>
          <w:rFonts w:ascii="Arial" w:eastAsia="Arial" w:hAnsi="Arial" w:cs="Arial"/>
          <w:b/>
          <w:bCs/>
          <w:sz w:val="22"/>
          <w:szCs w:val="22"/>
        </w:rPr>
        <w:t>i) que dicha acción se ha cumplido</w:t>
      </w:r>
      <w:r w:rsidRPr="00F372F0">
        <w:rPr>
          <w:rFonts w:ascii="Arial" w:eastAsia="Arial" w:hAnsi="Arial" w:cs="Arial"/>
          <w:sz w:val="22"/>
          <w:szCs w:val="22"/>
        </w:rPr>
        <w:t>, este se constituye en una prueba conducente, pertinente y útil, y por tanto demostrativa de los hallazgos que en el mismo se consignan, junto con los anexos e informes de la administración de la copropiedad AGRUPACIÓN RINCÓN DE BOLONIA - PROPIEDAD HORIZONTAL, se demuestra de manera suficiente la solución definitiva de las deficiencias constructivas y/o desmejoramientos de las especificaciones técnicas.</w:t>
      </w:r>
    </w:p>
    <w:p w14:paraId="00A49B35" w14:textId="77777777" w:rsidR="00E34B4C" w:rsidRPr="00F372F0" w:rsidRDefault="00E34B4C" w:rsidP="00E34B4C">
      <w:pPr>
        <w:jc w:val="both"/>
        <w:rPr>
          <w:rFonts w:ascii="Arial" w:eastAsia="Arial" w:hAnsi="Arial" w:cs="Arial"/>
          <w:b/>
          <w:bCs/>
          <w:sz w:val="22"/>
          <w:szCs w:val="22"/>
        </w:rPr>
      </w:pPr>
    </w:p>
    <w:p w14:paraId="45E2E9B0" w14:textId="77777777" w:rsidR="00E34B4C" w:rsidRPr="00F372F0" w:rsidRDefault="00E34B4C" w:rsidP="00E34B4C">
      <w:pPr>
        <w:jc w:val="both"/>
        <w:rPr>
          <w:rFonts w:ascii="Arial" w:eastAsia="Arial" w:hAnsi="Arial" w:cs="Arial"/>
          <w:b/>
          <w:bCs/>
          <w:sz w:val="22"/>
          <w:szCs w:val="22"/>
        </w:rPr>
      </w:pPr>
      <w:r w:rsidRPr="00F372F0">
        <w:rPr>
          <w:rFonts w:ascii="Arial" w:eastAsia="Arial" w:hAnsi="Arial" w:cs="Arial"/>
          <w:sz w:val="22"/>
          <w:szCs w:val="22"/>
        </w:rPr>
        <w:t>Visto lo anterior, en aplicación del principio de la buena fe y la valoración conjunta de las afirmaciones y soportes allegados al plenario, aplicando un razonamiento lógico, equitativo y de la experiencia como juicios de valor generales y relativos sobre la verdad, es decir bajo las reglas de la “sana crítica”, este Despacho concluye que corresponde dar por culminada la presente actuación administrativa, al haberse verificado el cumplimiento de la orden de hacer impartida, no sin antes recordarle a la enajenadora CG CONSTRUCTORA S.A.S, la importancia de mantener el cumplimiento de las obligaciones establecidas en la normativa vigente y de atender oportunamente las órdenes que en adelante sean emitidas por este Despacho.</w:t>
      </w:r>
    </w:p>
    <w:p w14:paraId="2D2BEFF0" w14:textId="77777777" w:rsidR="00E34B4C" w:rsidRPr="00F372F0" w:rsidRDefault="00E34B4C" w:rsidP="00E34B4C">
      <w:pPr>
        <w:jc w:val="both"/>
        <w:rPr>
          <w:rFonts w:ascii="Arial" w:eastAsia="Arial" w:hAnsi="Arial" w:cs="Arial"/>
          <w:b/>
          <w:bCs/>
          <w:sz w:val="22"/>
          <w:szCs w:val="22"/>
        </w:rPr>
      </w:pPr>
    </w:p>
    <w:p w14:paraId="09A097D1" w14:textId="77777777" w:rsidR="00E34B4C" w:rsidRPr="00F372F0" w:rsidRDefault="00E34B4C" w:rsidP="00E34B4C">
      <w:pPr>
        <w:jc w:val="both"/>
        <w:rPr>
          <w:rFonts w:ascii="Arial" w:eastAsia="Arial" w:hAnsi="Arial" w:cs="Arial"/>
          <w:b/>
          <w:bCs/>
          <w:sz w:val="22"/>
          <w:szCs w:val="22"/>
        </w:rPr>
      </w:pPr>
      <w:r w:rsidRPr="00F372F0">
        <w:rPr>
          <w:rFonts w:ascii="Arial" w:eastAsia="Arial" w:hAnsi="Arial" w:cs="Arial"/>
          <w:sz w:val="22"/>
          <w:szCs w:val="22"/>
        </w:rPr>
        <w:t>En consecuencia, por las razones que se acaban de señalar, y en ejercicio de las facultades de Inspección, Vigilancia y Control respecto a los enajenadores de vivienda, concernientes a este Despacho, no es procedente continuar adelantando las actuaciones administrativas relacionadas con la verificación de la orden establecida en la Resolución No. 306 del 12 de abril de 2022 “</w:t>
      </w:r>
      <w:r w:rsidRPr="00F372F0">
        <w:rPr>
          <w:rFonts w:ascii="Arial" w:eastAsia="Arial" w:hAnsi="Arial" w:cs="Arial"/>
          <w:i/>
          <w:iCs/>
          <w:sz w:val="22"/>
          <w:szCs w:val="22"/>
        </w:rPr>
        <w:t>Por la cual se impone una sanción y se imparte una orden</w:t>
      </w:r>
      <w:r w:rsidRPr="00F372F0">
        <w:rPr>
          <w:rFonts w:ascii="Arial" w:eastAsia="Arial" w:hAnsi="Arial" w:cs="Arial"/>
          <w:sz w:val="22"/>
          <w:szCs w:val="22"/>
        </w:rPr>
        <w:t xml:space="preserve">” por lo que, de conformidad con las razones antes expuestas, se dará por terminada la presente actuación, declarándose el cumplimiento de la orden impartida. </w:t>
      </w:r>
    </w:p>
    <w:p w14:paraId="70ECE74B" w14:textId="77777777" w:rsidR="00E34B4C" w:rsidRPr="00F372F0" w:rsidRDefault="00E34B4C" w:rsidP="00E34B4C">
      <w:pPr>
        <w:jc w:val="both"/>
        <w:rPr>
          <w:rFonts w:ascii="Arial" w:eastAsia="Arial" w:hAnsi="Arial" w:cs="Arial"/>
          <w:b/>
          <w:bCs/>
          <w:sz w:val="22"/>
          <w:szCs w:val="22"/>
        </w:rPr>
      </w:pPr>
    </w:p>
    <w:p w14:paraId="4B721531" w14:textId="77777777" w:rsidR="00E34B4C" w:rsidRPr="00F372F0" w:rsidRDefault="00E34B4C" w:rsidP="00E34B4C">
      <w:pPr>
        <w:jc w:val="both"/>
        <w:rPr>
          <w:rFonts w:ascii="Arial" w:eastAsia="Arial" w:hAnsi="Arial" w:cs="Arial"/>
          <w:b/>
          <w:bCs/>
          <w:sz w:val="22"/>
          <w:szCs w:val="22"/>
        </w:rPr>
      </w:pPr>
      <w:r w:rsidRPr="00F372F0">
        <w:rPr>
          <w:rFonts w:ascii="Arial" w:eastAsia="Arial" w:hAnsi="Arial" w:cs="Arial"/>
          <w:sz w:val="22"/>
          <w:szCs w:val="22"/>
        </w:rPr>
        <w:t>En mérito de lo expuesto, este despacho,</w:t>
      </w:r>
    </w:p>
    <w:p w14:paraId="72A3D6D5" w14:textId="77777777" w:rsidR="00E34B4C" w:rsidRPr="00F372F0" w:rsidRDefault="00E34B4C" w:rsidP="00E34B4C">
      <w:pPr>
        <w:jc w:val="both"/>
        <w:rPr>
          <w:rFonts w:ascii="Arial" w:eastAsia="Arial" w:hAnsi="Arial" w:cs="Arial"/>
          <w:b/>
          <w:bCs/>
          <w:sz w:val="22"/>
          <w:szCs w:val="22"/>
        </w:rPr>
      </w:pPr>
    </w:p>
    <w:p w14:paraId="1275A803" w14:textId="77777777" w:rsidR="00E34B4C" w:rsidRPr="00F372F0" w:rsidRDefault="00E34B4C" w:rsidP="00E34B4C">
      <w:pPr>
        <w:jc w:val="center"/>
        <w:rPr>
          <w:rFonts w:ascii="Arial" w:eastAsia="Arial" w:hAnsi="Arial" w:cs="Arial"/>
          <w:b/>
          <w:bCs/>
          <w:sz w:val="22"/>
          <w:szCs w:val="22"/>
        </w:rPr>
      </w:pPr>
      <w:r w:rsidRPr="00F372F0">
        <w:rPr>
          <w:rFonts w:ascii="Arial" w:eastAsia="Arial" w:hAnsi="Arial" w:cs="Arial"/>
          <w:b/>
          <w:bCs/>
          <w:sz w:val="22"/>
          <w:szCs w:val="22"/>
        </w:rPr>
        <w:t>RESUELVE:</w:t>
      </w:r>
    </w:p>
    <w:p w14:paraId="46BB2DAB" w14:textId="77777777" w:rsidR="00E34B4C" w:rsidRPr="00F372F0" w:rsidRDefault="00E34B4C" w:rsidP="00E34B4C">
      <w:pPr>
        <w:jc w:val="both"/>
        <w:rPr>
          <w:rFonts w:ascii="Arial" w:eastAsia="Arial" w:hAnsi="Arial" w:cs="Arial"/>
          <w:b/>
          <w:bCs/>
          <w:sz w:val="22"/>
          <w:szCs w:val="22"/>
        </w:rPr>
      </w:pPr>
    </w:p>
    <w:p w14:paraId="15D3C3E7" w14:textId="77777777" w:rsidR="00E34B4C" w:rsidRPr="00F372F0" w:rsidRDefault="00E34B4C" w:rsidP="00E34B4C">
      <w:pPr>
        <w:jc w:val="both"/>
        <w:rPr>
          <w:rFonts w:ascii="Arial" w:eastAsia="Arial" w:hAnsi="Arial" w:cs="Arial"/>
          <w:b/>
          <w:bCs/>
          <w:sz w:val="22"/>
          <w:szCs w:val="22"/>
        </w:rPr>
      </w:pPr>
      <w:r w:rsidRPr="00F372F0">
        <w:rPr>
          <w:rFonts w:ascii="Arial" w:eastAsia="Arial" w:hAnsi="Arial" w:cs="Arial"/>
          <w:b/>
          <w:bCs/>
          <w:sz w:val="22"/>
          <w:szCs w:val="22"/>
        </w:rPr>
        <w:t>ARTÍCULO PRIMERO.</w:t>
      </w:r>
      <w:r w:rsidRPr="00F372F0">
        <w:rPr>
          <w:rFonts w:ascii="Arial" w:eastAsia="Arial" w:hAnsi="Arial" w:cs="Arial"/>
          <w:sz w:val="22"/>
          <w:szCs w:val="22"/>
        </w:rPr>
        <w:t xml:space="preserve"> Declárese culminada la actuación administrativa relacionada con seguimiento al cumplimiento de la orden de hacer impuesta a la sociedad enajenadora</w:t>
      </w:r>
      <w:r w:rsidRPr="00F372F0">
        <w:rPr>
          <w:rFonts w:ascii="Arial" w:eastAsia="Arial" w:hAnsi="Arial" w:cs="Arial"/>
          <w:sz w:val="22"/>
          <w:szCs w:val="22"/>
          <w:highlight w:val="white"/>
        </w:rPr>
        <w:t xml:space="preserve"> </w:t>
      </w:r>
      <w:r w:rsidRPr="00F372F0">
        <w:rPr>
          <w:rFonts w:ascii="Arial" w:eastAsia="Arial" w:hAnsi="Arial" w:cs="Arial"/>
          <w:sz w:val="22"/>
          <w:szCs w:val="22"/>
        </w:rPr>
        <w:t>CG CONSTRUCTORA S.A.S identificada con NIT. 800.051.984-2</w:t>
      </w:r>
      <w:r w:rsidRPr="00F372F0">
        <w:rPr>
          <w:rFonts w:ascii="Arial" w:eastAsia="Arial" w:hAnsi="Arial" w:cs="Arial"/>
          <w:sz w:val="22"/>
          <w:szCs w:val="22"/>
          <w:highlight w:val="white"/>
        </w:rPr>
        <w:t>,</w:t>
      </w:r>
      <w:r w:rsidRPr="00F372F0">
        <w:rPr>
          <w:rFonts w:ascii="Arial" w:eastAsia="Arial" w:hAnsi="Arial" w:cs="Arial"/>
          <w:sz w:val="22"/>
          <w:szCs w:val="22"/>
        </w:rPr>
        <w:t xml:space="preserve"> en la Resolución No. 306 del </w:t>
      </w:r>
      <w:r w:rsidRPr="00F372F0">
        <w:rPr>
          <w:rFonts w:ascii="Arial" w:eastAsia="Arial" w:hAnsi="Arial" w:cs="Arial"/>
          <w:sz w:val="22"/>
          <w:szCs w:val="22"/>
        </w:rPr>
        <w:lastRenderedPageBreak/>
        <w:t>12 de abril de 2022, “</w:t>
      </w:r>
      <w:r w:rsidRPr="00F372F0">
        <w:rPr>
          <w:rFonts w:ascii="Arial" w:eastAsia="Arial" w:hAnsi="Arial" w:cs="Arial"/>
          <w:i/>
          <w:iCs/>
          <w:sz w:val="22"/>
          <w:szCs w:val="22"/>
        </w:rPr>
        <w:t>Por la cual se impone una sanción y se imparte una orden</w:t>
      </w:r>
      <w:r w:rsidRPr="00F372F0">
        <w:rPr>
          <w:rFonts w:ascii="Arial" w:eastAsia="Arial" w:hAnsi="Arial" w:cs="Arial"/>
          <w:sz w:val="22"/>
          <w:szCs w:val="22"/>
        </w:rPr>
        <w:t xml:space="preserve">” por encontrarse plenamente cumplidos y subsanados los hechos que dieron lugar a esta, de conformidad con las razones expuestas en la parte motiva del presente Acto Administrativo.  </w:t>
      </w:r>
    </w:p>
    <w:p w14:paraId="780F3308" w14:textId="77777777" w:rsidR="00E34B4C" w:rsidRPr="00F372F0" w:rsidRDefault="00E34B4C" w:rsidP="00E34B4C">
      <w:pPr>
        <w:widowControl w:val="0"/>
        <w:jc w:val="both"/>
        <w:rPr>
          <w:rFonts w:ascii="Arial" w:eastAsia="Arial" w:hAnsi="Arial" w:cs="Arial"/>
          <w:b/>
          <w:bCs/>
          <w:sz w:val="22"/>
          <w:szCs w:val="22"/>
        </w:rPr>
      </w:pPr>
    </w:p>
    <w:p w14:paraId="7A25A9FF" w14:textId="030BC99F" w:rsidR="00E34B4C" w:rsidRPr="00F372F0" w:rsidRDefault="00E34B4C" w:rsidP="00E34B4C">
      <w:pPr>
        <w:jc w:val="both"/>
        <w:rPr>
          <w:rFonts w:ascii="Arial" w:eastAsia="Arial" w:hAnsi="Arial" w:cs="Arial"/>
          <w:sz w:val="22"/>
          <w:szCs w:val="22"/>
        </w:rPr>
      </w:pPr>
      <w:r w:rsidRPr="00F372F0">
        <w:rPr>
          <w:rFonts w:ascii="Arial" w:eastAsia="Arial" w:hAnsi="Arial" w:cs="Arial"/>
          <w:b/>
          <w:bCs/>
          <w:sz w:val="22"/>
          <w:szCs w:val="22"/>
        </w:rPr>
        <w:t>ARTICULO SEGUNDO:</w:t>
      </w:r>
      <w:r w:rsidRPr="00F372F0">
        <w:rPr>
          <w:rFonts w:ascii="Arial" w:eastAsia="Arial" w:hAnsi="Arial" w:cs="Arial"/>
          <w:sz w:val="22"/>
          <w:szCs w:val="22"/>
        </w:rPr>
        <w:t xml:space="preserve"> Notificar el contenido de la presente Resolución al representante legal y/o al apoderado de la sociedad enajenadora CG CONSTRUCTORA S.A.S identificada con NIT. 800.051.984-2, representada legalmente por el señor CÉSAR GÓMEZ ESTRADA, (o quien haga sus veces), para lo cual deberá enviarse citación para notificación a la dirección electrónica: </w:t>
      </w:r>
      <w:r w:rsidRPr="00F372F0">
        <w:rPr>
          <w:rFonts w:ascii="Arial" w:eastAsia="Arial" w:hAnsi="Arial" w:cs="Arial"/>
          <w:b/>
          <w:bCs/>
          <w:sz w:val="22"/>
          <w:szCs w:val="22"/>
          <w:u w:val="single"/>
        </w:rPr>
        <w:t>juridico@cgconstructora.com</w:t>
      </w:r>
      <w:r w:rsidRPr="00F372F0">
        <w:rPr>
          <w:rFonts w:ascii="Arial" w:eastAsia="Arial" w:hAnsi="Arial" w:cs="Arial"/>
          <w:sz w:val="22"/>
          <w:szCs w:val="22"/>
        </w:rPr>
        <w:t>, o, en su defecto, de conformidad con las normas de notificación previstas en la Ley 1437 de 2011.</w:t>
      </w:r>
    </w:p>
    <w:p w14:paraId="11F791A7" w14:textId="77777777" w:rsidR="00E34B4C" w:rsidRPr="00F372F0" w:rsidRDefault="00E34B4C" w:rsidP="00E34B4C">
      <w:pPr>
        <w:rPr>
          <w:rFonts w:ascii="Arial" w:eastAsia="Arial" w:hAnsi="Arial" w:cs="Arial"/>
          <w:sz w:val="22"/>
          <w:szCs w:val="22"/>
        </w:rPr>
      </w:pPr>
    </w:p>
    <w:p w14:paraId="619B6A70" w14:textId="19869895" w:rsidR="00E34B4C" w:rsidRPr="00F372F0" w:rsidRDefault="00E34B4C" w:rsidP="00E34B4C">
      <w:pPr>
        <w:jc w:val="both"/>
        <w:rPr>
          <w:rFonts w:ascii="Arial" w:eastAsia="Arial" w:hAnsi="Arial" w:cs="Arial"/>
          <w:sz w:val="22"/>
          <w:szCs w:val="22"/>
        </w:rPr>
      </w:pPr>
      <w:r w:rsidRPr="00F372F0">
        <w:rPr>
          <w:rFonts w:ascii="Arial" w:eastAsia="Arial" w:hAnsi="Arial" w:cs="Arial"/>
          <w:b/>
          <w:bCs/>
          <w:sz w:val="22"/>
          <w:szCs w:val="22"/>
        </w:rPr>
        <w:t xml:space="preserve">ARTÍCULO TERCERO: </w:t>
      </w:r>
      <w:r w:rsidRPr="00F372F0">
        <w:rPr>
          <w:rFonts w:ascii="Arial" w:eastAsia="Arial" w:hAnsi="Arial" w:cs="Arial"/>
          <w:sz w:val="22"/>
          <w:szCs w:val="22"/>
        </w:rPr>
        <w:t xml:space="preserve">Notificar el contenido de esta Resolución al </w:t>
      </w:r>
      <w:r w:rsidR="00E072F0">
        <w:rPr>
          <w:rFonts w:ascii="Arial" w:eastAsia="Arial" w:hAnsi="Arial" w:cs="Arial"/>
          <w:sz w:val="22"/>
          <w:szCs w:val="22"/>
        </w:rPr>
        <w:t xml:space="preserve">propietario </w:t>
      </w:r>
      <w:r w:rsidR="00E072F0" w:rsidRPr="00F372F0">
        <w:rPr>
          <w:rFonts w:ascii="Arial" w:eastAsia="Arial" w:hAnsi="Arial" w:cs="Arial"/>
          <w:sz w:val="22"/>
          <w:szCs w:val="22"/>
        </w:rPr>
        <w:t>apartamento 603, interior 4, Bloque G</w:t>
      </w:r>
      <w:r w:rsidRPr="00F372F0">
        <w:rPr>
          <w:rFonts w:ascii="Arial" w:eastAsia="Arial" w:hAnsi="Arial" w:cs="Arial"/>
          <w:sz w:val="22"/>
          <w:szCs w:val="22"/>
        </w:rPr>
        <w:t xml:space="preserve"> (o quien haga sus veces) del proyecto de vivienda AGRUPACIÓN RINCÓN DE BOLONIA - PROPIEDAD HORIZONTAL, para lo cual deberá enviarse citación para notificación personal a la </w:t>
      </w:r>
      <w:r w:rsidRPr="00F372F0">
        <w:rPr>
          <w:rFonts w:ascii="Arial" w:eastAsia="Arial" w:hAnsi="Arial" w:cs="Arial"/>
          <w:b/>
          <w:bCs/>
          <w:sz w:val="22"/>
          <w:szCs w:val="22"/>
          <w:u w:val="single"/>
        </w:rPr>
        <w:t>Carrera 10 ESTE SUR No. 76-25 BL G INT 4 AP 603</w:t>
      </w:r>
      <w:r w:rsidRPr="00F372F0">
        <w:rPr>
          <w:rFonts w:ascii="Arial" w:eastAsia="Arial" w:hAnsi="Arial" w:cs="Arial"/>
          <w:sz w:val="22"/>
          <w:szCs w:val="22"/>
        </w:rPr>
        <w:t>; o, en su defecto, de conformidad con las normas de notificación previstas en la Ley 1437 de 2011.</w:t>
      </w:r>
    </w:p>
    <w:p w14:paraId="224F426D" w14:textId="77777777" w:rsidR="00E34B4C" w:rsidRPr="00F372F0" w:rsidRDefault="00E34B4C" w:rsidP="00E34B4C">
      <w:pPr>
        <w:widowControl w:val="0"/>
        <w:jc w:val="both"/>
        <w:rPr>
          <w:rFonts w:ascii="Arial" w:eastAsia="Arial" w:hAnsi="Arial" w:cs="Arial"/>
          <w:b/>
          <w:bCs/>
          <w:sz w:val="22"/>
          <w:szCs w:val="22"/>
        </w:rPr>
      </w:pPr>
    </w:p>
    <w:p w14:paraId="55B40D1D" w14:textId="77777777" w:rsidR="00E34B4C" w:rsidRPr="00F372F0" w:rsidRDefault="00E34B4C" w:rsidP="00E34B4C">
      <w:pPr>
        <w:widowControl w:val="0"/>
        <w:jc w:val="both"/>
        <w:rPr>
          <w:rFonts w:ascii="Arial" w:eastAsia="Arial" w:hAnsi="Arial" w:cs="Arial"/>
          <w:sz w:val="22"/>
          <w:szCs w:val="22"/>
        </w:rPr>
      </w:pPr>
      <w:r w:rsidRPr="00F372F0">
        <w:rPr>
          <w:rFonts w:ascii="Arial" w:eastAsia="Arial" w:hAnsi="Arial" w:cs="Arial"/>
          <w:b/>
          <w:bCs/>
          <w:sz w:val="22"/>
          <w:szCs w:val="22"/>
        </w:rPr>
        <w:t xml:space="preserve">ARTÍCULO CUARTO: </w:t>
      </w:r>
      <w:r w:rsidRPr="00F372F0">
        <w:rPr>
          <w:rFonts w:ascii="Arial" w:eastAsia="Arial" w:hAnsi="Arial" w:cs="Arial"/>
          <w:sz w:val="22"/>
          <w:szCs w:val="22"/>
        </w:rPr>
        <w:t>Contra la presente Resolución procede el recurso de reposición ante este Despacho y el de apelación ante la Subsecretaría de Inspección, Vigilancia y Control de Vivienda de la Secretaría Distrital del Hábitat, los cuales se podrán interponer en la diligencia de notificación personal, o dentro de los diez (10) días hábiles siguientes a ella, o a la notificación por aviso, o al vencimiento del término de publicación según el caso, de conformidad con lo dispuesto en el Código de Procedimiento Administrativo y de lo Contencioso Administrativo.</w:t>
      </w:r>
    </w:p>
    <w:p w14:paraId="7767F03E" w14:textId="77777777" w:rsidR="00E34B4C" w:rsidRPr="00F372F0" w:rsidRDefault="00E34B4C" w:rsidP="00E34B4C">
      <w:pPr>
        <w:widowControl w:val="0"/>
        <w:jc w:val="both"/>
        <w:rPr>
          <w:rFonts w:ascii="Arial" w:eastAsia="Arial" w:hAnsi="Arial" w:cs="Arial"/>
          <w:b/>
          <w:bCs/>
          <w:sz w:val="22"/>
          <w:szCs w:val="22"/>
        </w:rPr>
      </w:pPr>
    </w:p>
    <w:p w14:paraId="69786B23" w14:textId="77777777" w:rsidR="00E34B4C" w:rsidRPr="00F372F0" w:rsidRDefault="00E34B4C" w:rsidP="00E34B4C">
      <w:pPr>
        <w:widowControl w:val="0"/>
        <w:jc w:val="both"/>
        <w:rPr>
          <w:rFonts w:ascii="Arial" w:eastAsia="Arial" w:hAnsi="Arial" w:cs="Arial"/>
          <w:sz w:val="22"/>
          <w:szCs w:val="22"/>
        </w:rPr>
      </w:pPr>
      <w:r w:rsidRPr="00F372F0">
        <w:rPr>
          <w:rFonts w:ascii="Arial" w:eastAsia="Arial" w:hAnsi="Arial" w:cs="Arial"/>
          <w:b/>
          <w:bCs/>
          <w:sz w:val="22"/>
          <w:szCs w:val="22"/>
        </w:rPr>
        <w:t>ARTÍCULO QUINTO.</w:t>
      </w:r>
      <w:r w:rsidRPr="00F372F0">
        <w:rPr>
          <w:rFonts w:ascii="Arial" w:eastAsia="Arial" w:hAnsi="Arial" w:cs="Arial"/>
          <w:sz w:val="22"/>
          <w:szCs w:val="22"/>
        </w:rPr>
        <w:t xml:space="preserve"> Una vez en firme el presente acto administrativo se procederá con su archivo.</w:t>
      </w:r>
    </w:p>
    <w:p w14:paraId="4BB31E37" w14:textId="77777777" w:rsidR="00E34B4C" w:rsidRPr="00F372F0" w:rsidRDefault="00E34B4C" w:rsidP="00E34B4C">
      <w:pPr>
        <w:widowControl w:val="0"/>
        <w:jc w:val="both"/>
        <w:rPr>
          <w:rFonts w:ascii="Arial" w:eastAsia="Arial" w:hAnsi="Arial" w:cs="Arial"/>
          <w:b/>
          <w:bCs/>
          <w:sz w:val="22"/>
          <w:szCs w:val="22"/>
        </w:rPr>
      </w:pPr>
    </w:p>
    <w:p w14:paraId="319B1187" w14:textId="77777777" w:rsidR="00E34B4C" w:rsidRPr="00F372F0" w:rsidRDefault="00E34B4C" w:rsidP="00E34B4C">
      <w:pPr>
        <w:widowControl w:val="0"/>
        <w:jc w:val="both"/>
        <w:rPr>
          <w:rFonts w:ascii="Arial" w:eastAsia="Arial" w:hAnsi="Arial" w:cs="Arial"/>
          <w:sz w:val="22"/>
          <w:szCs w:val="22"/>
        </w:rPr>
      </w:pPr>
      <w:r w:rsidRPr="00F372F0">
        <w:rPr>
          <w:rFonts w:ascii="Arial" w:eastAsia="Arial" w:hAnsi="Arial" w:cs="Arial"/>
          <w:b/>
          <w:bCs/>
          <w:sz w:val="22"/>
          <w:szCs w:val="22"/>
        </w:rPr>
        <w:t xml:space="preserve">ARTÍCULO SEXTO. </w:t>
      </w:r>
      <w:r w:rsidRPr="00F372F0">
        <w:rPr>
          <w:rFonts w:ascii="Arial" w:eastAsia="Arial" w:hAnsi="Arial" w:cs="Arial"/>
          <w:sz w:val="22"/>
          <w:szCs w:val="22"/>
        </w:rPr>
        <w:t>La presente resolución rige a partir de la fecha de su expedición.</w:t>
      </w:r>
    </w:p>
    <w:p w14:paraId="24FC30F3" w14:textId="77777777" w:rsidR="00E34B4C" w:rsidRPr="00F372F0" w:rsidRDefault="00E34B4C" w:rsidP="00E34B4C">
      <w:pPr>
        <w:widowControl w:val="0"/>
        <w:jc w:val="center"/>
        <w:rPr>
          <w:rFonts w:ascii="Arial" w:eastAsia="Arial" w:hAnsi="Arial" w:cs="Arial"/>
          <w:b/>
          <w:bCs/>
          <w:sz w:val="22"/>
          <w:szCs w:val="22"/>
        </w:rPr>
      </w:pPr>
    </w:p>
    <w:p w14:paraId="79EEA9FF" w14:textId="77777777" w:rsidR="00E34B4C" w:rsidRPr="00F372F0" w:rsidRDefault="00E34B4C" w:rsidP="00E34B4C">
      <w:pPr>
        <w:widowControl w:val="0"/>
        <w:jc w:val="center"/>
        <w:rPr>
          <w:rFonts w:ascii="Arial" w:eastAsia="Arial" w:hAnsi="Arial" w:cs="Arial"/>
          <w:b/>
          <w:bCs/>
          <w:sz w:val="22"/>
          <w:szCs w:val="22"/>
        </w:rPr>
      </w:pPr>
    </w:p>
    <w:p w14:paraId="53FCA607" w14:textId="77777777" w:rsidR="00E34B4C" w:rsidRPr="00F372F0" w:rsidRDefault="00E34B4C" w:rsidP="00E34B4C">
      <w:pPr>
        <w:widowControl w:val="0"/>
        <w:jc w:val="center"/>
        <w:rPr>
          <w:rFonts w:ascii="Arial" w:eastAsia="Arial" w:hAnsi="Arial" w:cs="Arial"/>
          <w:b/>
          <w:bCs/>
          <w:sz w:val="22"/>
          <w:szCs w:val="22"/>
        </w:rPr>
      </w:pPr>
      <w:r w:rsidRPr="00F372F0">
        <w:rPr>
          <w:rFonts w:ascii="Arial" w:eastAsia="Arial" w:hAnsi="Arial" w:cs="Arial"/>
          <w:b/>
          <w:bCs/>
          <w:sz w:val="22"/>
          <w:szCs w:val="22"/>
        </w:rPr>
        <w:t>NOTIFÍQUESE, COMUNÍQUESE Y CÚMPLASE.</w:t>
      </w:r>
    </w:p>
    <w:p w14:paraId="1E7A4744" w14:textId="77777777" w:rsidR="00E34B4C" w:rsidRPr="00F372F0" w:rsidRDefault="00E34B4C" w:rsidP="00E34B4C">
      <w:pPr>
        <w:widowControl w:val="0"/>
        <w:rPr>
          <w:rFonts w:ascii="Arial" w:eastAsia="Arial" w:hAnsi="Arial" w:cs="Arial"/>
          <w:b/>
          <w:bCs/>
          <w:sz w:val="22"/>
          <w:szCs w:val="22"/>
        </w:rPr>
      </w:pPr>
    </w:p>
    <w:p w14:paraId="540CC4AF" w14:textId="77777777" w:rsidR="00E34B4C" w:rsidRDefault="00E34B4C" w:rsidP="00E34B4C">
      <w:pPr>
        <w:widowControl w:val="0"/>
        <w:jc w:val="both"/>
        <w:rPr>
          <w:rFonts w:ascii="Arial" w:eastAsia="Arial" w:hAnsi="Arial" w:cs="Arial"/>
          <w:sz w:val="22"/>
          <w:szCs w:val="22"/>
        </w:rPr>
      </w:pPr>
    </w:p>
    <w:p w14:paraId="7197D701" w14:textId="77777777" w:rsidR="008C1FA1" w:rsidRDefault="008C1FA1" w:rsidP="00E34B4C">
      <w:pPr>
        <w:widowControl w:val="0"/>
        <w:jc w:val="both"/>
        <w:rPr>
          <w:rFonts w:ascii="Arial" w:eastAsia="Arial" w:hAnsi="Arial" w:cs="Arial"/>
          <w:sz w:val="22"/>
          <w:szCs w:val="22"/>
        </w:rPr>
      </w:pPr>
    </w:p>
    <w:p w14:paraId="14D970ED" w14:textId="77777777" w:rsidR="008C1FA1" w:rsidRDefault="008C1FA1" w:rsidP="00E34B4C">
      <w:pPr>
        <w:widowControl w:val="0"/>
        <w:jc w:val="both"/>
        <w:rPr>
          <w:rFonts w:ascii="Arial" w:eastAsia="Arial" w:hAnsi="Arial" w:cs="Arial"/>
          <w:sz w:val="22"/>
          <w:szCs w:val="22"/>
        </w:rPr>
      </w:pPr>
    </w:p>
    <w:p w14:paraId="1C870991" w14:textId="77777777" w:rsidR="008C1FA1" w:rsidRPr="00F372F0" w:rsidRDefault="008C1FA1" w:rsidP="00E34B4C">
      <w:pPr>
        <w:widowControl w:val="0"/>
        <w:jc w:val="both"/>
        <w:rPr>
          <w:rFonts w:ascii="Arial" w:eastAsia="Arial" w:hAnsi="Arial" w:cs="Arial"/>
          <w:sz w:val="22"/>
          <w:szCs w:val="22"/>
        </w:rPr>
      </w:pPr>
    </w:p>
    <w:p w14:paraId="08E24445" w14:textId="77777777" w:rsidR="00E34B4C" w:rsidRPr="00F372F0" w:rsidRDefault="00E34B4C" w:rsidP="00E34B4C">
      <w:pPr>
        <w:widowControl w:val="0"/>
        <w:jc w:val="center"/>
        <w:rPr>
          <w:rFonts w:ascii="Arial" w:eastAsia="Arial" w:hAnsi="Arial" w:cs="Arial"/>
          <w:b/>
          <w:bCs/>
          <w:sz w:val="22"/>
          <w:szCs w:val="22"/>
        </w:rPr>
      </w:pPr>
      <w:r w:rsidRPr="00F372F0">
        <w:rPr>
          <w:rFonts w:ascii="Arial" w:eastAsia="Arial" w:hAnsi="Arial" w:cs="Arial"/>
          <w:b/>
          <w:bCs/>
          <w:sz w:val="22"/>
          <w:szCs w:val="22"/>
        </w:rPr>
        <w:t>JAZMÍN ROCÍO OROZCO RODRÍGUEZ</w:t>
      </w:r>
    </w:p>
    <w:p w14:paraId="6B61C49C" w14:textId="77777777" w:rsidR="00E34B4C" w:rsidRPr="00F372F0" w:rsidRDefault="00E34B4C" w:rsidP="00E34B4C">
      <w:pPr>
        <w:widowControl w:val="0"/>
        <w:jc w:val="center"/>
        <w:rPr>
          <w:rFonts w:ascii="Arial" w:eastAsia="Arial" w:hAnsi="Arial" w:cs="Arial"/>
          <w:b/>
          <w:bCs/>
          <w:sz w:val="22"/>
          <w:szCs w:val="22"/>
        </w:rPr>
      </w:pPr>
      <w:r w:rsidRPr="00F372F0">
        <w:rPr>
          <w:rFonts w:ascii="Arial" w:eastAsia="Arial" w:hAnsi="Arial" w:cs="Arial"/>
          <w:b/>
          <w:bCs/>
          <w:sz w:val="22"/>
          <w:szCs w:val="22"/>
        </w:rPr>
        <w:t>Directora de Investigaciones y Control de Vivienda</w:t>
      </w:r>
    </w:p>
    <w:p w14:paraId="20C081B2" w14:textId="77777777" w:rsidR="00E34B4C" w:rsidRPr="00F372F0" w:rsidRDefault="00E34B4C" w:rsidP="00E34B4C">
      <w:pPr>
        <w:widowControl w:val="0"/>
        <w:jc w:val="both"/>
        <w:rPr>
          <w:rFonts w:ascii="Arial" w:eastAsia="Arial" w:hAnsi="Arial" w:cs="Arial"/>
          <w:i/>
          <w:iCs/>
          <w:sz w:val="22"/>
          <w:szCs w:val="22"/>
        </w:rPr>
      </w:pPr>
    </w:p>
    <w:p w14:paraId="143C483B" w14:textId="77777777" w:rsidR="00E34B4C" w:rsidRPr="00F372F0" w:rsidRDefault="00E34B4C" w:rsidP="00E34B4C">
      <w:pPr>
        <w:jc w:val="both"/>
        <w:rPr>
          <w:rFonts w:ascii="Arial" w:eastAsia="Arial" w:hAnsi="Arial" w:cs="Arial"/>
          <w:i/>
          <w:iCs/>
          <w:sz w:val="16"/>
          <w:szCs w:val="16"/>
        </w:rPr>
      </w:pPr>
      <w:r w:rsidRPr="00F372F0">
        <w:rPr>
          <w:rFonts w:ascii="Arial" w:eastAsia="Arial" w:hAnsi="Arial" w:cs="Arial"/>
          <w:i/>
          <w:iCs/>
          <w:sz w:val="16"/>
          <w:szCs w:val="16"/>
        </w:rPr>
        <w:t>Proyectó: Daniel Santiago Cristiano González - Abogado Contratista – DICV</w:t>
      </w:r>
    </w:p>
    <w:p w14:paraId="67ABCC9C" w14:textId="77777777" w:rsidR="00E34B4C" w:rsidRPr="00F372F0" w:rsidRDefault="00E34B4C" w:rsidP="00E34B4C">
      <w:pPr>
        <w:jc w:val="both"/>
        <w:rPr>
          <w:rFonts w:ascii="Arial" w:eastAsia="Arial" w:hAnsi="Arial" w:cs="Arial"/>
          <w:i/>
          <w:iCs/>
          <w:sz w:val="16"/>
          <w:szCs w:val="16"/>
        </w:rPr>
      </w:pPr>
      <w:r w:rsidRPr="00F372F0">
        <w:rPr>
          <w:rFonts w:ascii="Arial" w:eastAsia="Arial" w:hAnsi="Arial" w:cs="Arial"/>
          <w:i/>
          <w:iCs/>
          <w:sz w:val="16"/>
          <w:szCs w:val="16"/>
        </w:rPr>
        <w:t xml:space="preserve">Revisó: Mauricio Hernández Beltrán – Abogado Contratista – DICV </w:t>
      </w:r>
    </w:p>
    <w:p w14:paraId="44D559F5" w14:textId="77777777" w:rsidR="00E34B4C" w:rsidRPr="00F372F0" w:rsidRDefault="00E34B4C" w:rsidP="00E34B4C">
      <w:pPr>
        <w:rPr>
          <w:rFonts w:ascii="Arial" w:eastAsia="Arial" w:hAnsi="Arial" w:cs="Arial"/>
          <w:sz w:val="22"/>
          <w:szCs w:val="22"/>
        </w:rPr>
      </w:pPr>
    </w:p>
    <w:p w14:paraId="47E8EB50" w14:textId="77777777" w:rsidR="00E34B4C" w:rsidRPr="00F372F0" w:rsidRDefault="00E34B4C" w:rsidP="00E34B4C">
      <w:pPr>
        <w:pBdr>
          <w:top w:val="nil"/>
          <w:left w:val="nil"/>
          <w:bottom w:val="nil"/>
          <w:right w:val="nil"/>
          <w:between w:val="nil"/>
        </w:pBdr>
        <w:rPr>
          <w:rFonts w:ascii="Arial" w:eastAsia="Arial" w:hAnsi="Arial" w:cs="Arial"/>
          <w:b/>
          <w:bCs/>
          <w:sz w:val="22"/>
          <w:szCs w:val="22"/>
        </w:rPr>
      </w:pPr>
    </w:p>
    <w:sectPr w:rsidR="00E34B4C" w:rsidRPr="00F372F0">
      <w:headerReference w:type="default" r:id="rId7"/>
      <w:footerReference w:type="default" r:id="rId8"/>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8B96B" w14:textId="77777777" w:rsidR="00224DE6" w:rsidRDefault="00224DE6">
      <w:r>
        <w:separator/>
      </w:r>
    </w:p>
  </w:endnote>
  <w:endnote w:type="continuationSeparator" w:id="0">
    <w:p w14:paraId="7D53ABDD" w14:textId="77777777" w:rsidR="00224DE6" w:rsidRDefault="00224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lay">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5A398" w14:textId="77777777" w:rsidR="00C805AF" w:rsidRDefault="00224DE6">
    <w:pPr>
      <w:pBdr>
        <w:top w:val="nil"/>
        <w:left w:val="nil"/>
        <w:bottom w:val="nil"/>
        <w:right w:val="nil"/>
        <w:between w:val="nil"/>
      </w:pBdr>
      <w:tabs>
        <w:tab w:val="center" w:pos="4419"/>
        <w:tab w:val="right" w:pos="8838"/>
      </w:tabs>
      <w:rPr>
        <w:color w:val="000000"/>
        <w:sz w:val="16"/>
        <w:szCs w:val="16"/>
      </w:rPr>
    </w:pPr>
    <w:r>
      <w:rPr>
        <w:rFonts w:ascii="Arial" w:eastAsia="Arial" w:hAnsi="Arial" w:cs="Arial"/>
        <w:color w:val="000000"/>
        <w:sz w:val="16"/>
        <w:szCs w:val="16"/>
      </w:rPr>
      <w:t xml:space="preserve">Secretaría Distrital del Hábitat                             </w:t>
    </w:r>
    <w:r>
      <w:rPr>
        <w:noProof/>
      </w:rPr>
      <w:drawing>
        <wp:anchor distT="0" distB="0" distL="114300" distR="114300" simplePos="0" relativeHeight="251660288" behindDoc="0" locked="0" layoutInCell="1" hidden="0" allowOverlap="1" wp14:anchorId="1740D8A1" wp14:editId="2DC364D7">
          <wp:simplePos x="0" y="0"/>
          <wp:positionH relativeFrom="column">
            <wp:posOffset>2239010</wp:posOffset>
          </wp:positionH>
          <wp:positionV relativeFrom="paragraph">
            <wp:posOffset>74295</wp:posOffset>
          </wp:positionV>
          <wp:extent cx="2133600" cy="861695"/>
          <wp:effectExtent l="9525" t="9525" r="9525" b="9525"/>
          <wp:wrapSquare wrapText="bothSides" distT="0" distB="0" distL="114300" distR="114300"/>
          <wp:docPr id="4102" name="image1.png" descr="Imagen que contiene Texto&#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0" name="image1.png" descr="Imagen que contiene Texto&#10;&#10;El contenido generado por IA puede ser incorrecto."/>
                  <pic:cNvPicPr preferRelativeResize="0"/>
                </pic:nvPicPr>
                <pic:blipFill>
                  <a:blip r:embed="rId1"/>
                  <a:srcRect/>
                  <a:stretch>
                    <a:fillRect/>
                  </a:stretch>
                </pic:blipFill>
                <pic:spPr>
                  <a:xfrm>
                    <a:off x="0" y="0"/>
                    <a:ext cx="2133600" cy="861695"/>
                  </a:xfrm>
                  <a:prstGeom prst="rect">
                    <a:avLst/>
                  </a:prstGeom>
                  <a:ln w="9525">
                    <a:solidFill>
                      <a:srgbClr val="000000"/>
                    </a:solidFill>
                    <a:prstDash val="solid"/>
                  </a:ln>
                </pic:spPr>
              </pic:pic>
            </a:graphicData>
          </a:graphic>
        </wp:anchor>
      </w:drawing>
    </w:r>
  </w:p>
  <w:p w14:paraId="7CB1F593" w14:textId="77777777" w:rsidR="00C805AF" w:rsidRDefault="00224DE6">
    <w:pPr>
      <w:pBdr>
        <w:top w:val="nil"/>
        <w:left w:val="nil"/>
        <w:bottom w:val="nil"/>
        <w:right w:val="nil"/>
        <w:between w:val="nil"/>
      </w:pBdr>
      <w:tabs>
        <w:tab w:val="center" w:pos="4419"/>
        <w:tab w:val="right" w:pos="8838"/>
      </w:tabs>
      <w:rPr>
        <w:color w:val="000000"/>
      </w:rPr>
    </w:pPr>
    <w:r>
      <w:rPr>
        <w:color w:val="000000"/>
      </w:rPr>
      <w:t xml:space="preserve">Página </w:t>
    </w:r>
    <w:r>
      <w:rPr>
        <w:b/>
        <w:bCs/>
        <w:color w:val="000000"/>
      </w:rPr>
      <w:fldChar w:fldCharType="begin"/>
    </w:r>
    <w:r>
      <w:rPr>
        <w:b/>
        <w:bCs/>
        <w:color w:val="000000"/>
      </w:rPr>
      <w:instrText>PAGE</w:instrText>
    </w:r>
    <w:r>
      <w:rPr>
        <w:b/>
        <w:bCs/>
        <w:color w:val="000000"/>
      </w:rPr>
      <w:fldChar w:fldCharType="separate"/>
    </w:r>
    <w:r>
      <w:rPr>
        <w:b/>
        <w:bCs/>
        <w:noProof/>
        <w:color w:val="000000"/>
      </w:rPr>
      <w:t>1</w:t>
    </w:r>
    <w:r>
      <w:rPr>
        <w:b/>
        <w:bCs/>
        <w:color w:val="000000"/>
      </w:rPr>
      <w:fldChar w:fldCharType="end"/>
    </w:r>
    <w:r>
      <w:rPr>
        <w:color w:val="000000"/>
      </w:rPr>
      <w:t xml:space="preserve"> de </w:t>
    </w:r>
    <w:r>
      <w:rPr>
        <w:b/>
        <w:bCs/>
        <w:color w:val="000000"/>
      </w:rPr>
      <w:fldChar w:fldCharType="begin"/>
    </w:r>
    <w:r>
      <w:rPr>
        <w:b/>
        <w:bCs/>
        <w:color w:val="000000"/>
      </w:rPr>
      <w:instrText>NUMPAGES</w:instrText>
    </w:r>
    <w:r>
      <w:rPr>
        <w:b/>
        <w:bCs/>
        <w:color w:val="000000"/>
      </w:rPr>
      <w:fldChar w:fldCharType="separate"/>
    </w:r>
    <w:r>
      <w:rPr>
        <w:b/>
        <w:bCs/>
        <w:noProof/>
        <w:color w:val="000000"/>
      </w:rPr>
      <w:t>2</w:t>
    </w:r>
    <w:r>
      <w:rPr>
        <w:b/>
        <w:bCs/>
        <w:color w:val="000000"/>
      </w:rPr>
      <w:fldChar w:fldCharType="end"/>
    </w:r>
  </w:p>
  <w:p w14:paraId="5227163E" w14:textId="77777777" w:rsidR="00C805AF" w:rsidRDefault="00224DE6">
    <w:pPr>
      <w:pBdr>
        <w:top w:val="nil"/>
        <w:left w:val="nil"/>
        <w:bottom w:val="nil"/>
        <w:right w:val="nil"/>
        <w:between w:val="nil"/>
      </w:pBdr>
      <w:tabs>
        <w:tab w:val="center" w:pos="4419"/>
        <w:tab w:val="right" w:pos="8838"/>
      </w:tabs>
      <w:rPr>
        <w:rFonts w:ascii="Arial" w:eastAsia="Arial" w:hAnsi="Arial" w:cs="Arial"/>
        <w:b/>
        <w:bCs/>
        <w:color w:val="000000"/>
        <w:sz w:val="14"/>
        <w:szCs w:val="14"/>
      </w:rPr>
    </w:pPr>
    <w:r>
      <w:rPr>
        <w:rFonts w:ascii="Arial" w:eastAsia="Arial" w:hAnsi="Arial" w:cs="Arial"/>
        <w:color w:val="000000"/>
        <w:sz w:val="16"/>
        <w:szCs w:val="16"/>
      </w:rPr>
      <w:t xml:space="preserve">Servicio al ciudadano: Carrera 13 No. 52-13       </w:t>
    </w:r>
  </w:p>
  <w:p w14:paraId="408D1C85" w14:textId="77777777" w:rsidR="00C805AF" w:rsidRDefault="00224DE6">
    <w:pPr>
      <w:pBdr>
        <w:top w:val="nil"/>
        <w:left w:val="nil"/>
        <w:bottom w:val="nil"/>
        <w:right w:val="nil"/>
        <w:between w:val="nil"/>
      </w:pBdr>
      <w:tabs>
        <w:tab w:val="center" w:pos="4419"/>
        <w:tab w:val="right" w:pos="8838"/>
      </w:tabs>
      <w:rPr>
        <w:rFonts w:ascii="Arial" w:eastAsia="Arial" w:hAnsi="Arial" w:cs="Arial"/>
        <w:color w:val="000000"/>
        <w:sz w:val="16"/>
        <w:szCs w:val="16"/>
      </w:rPr>
    </w:pPr>
    <w:r>
      <w:rPr>
        <w:rFonts w:ascii="Arial" w:eastAsia="Arial" w:hAnsi="Arial" w:cs="Arial"/>
        <w:color w:val="000000"/>
        <w:sz w:val="16"/>
        <w:szCs w:val="16"/>
      </w:rPr>
      <w:t xml:space="preserve">Sede Principal: Calle 52 No. 13-64                     </w:t>
    </w:r>
    <w:r>
      <w:rPr>
        <w:noProof/>
      </w:rPr>
      <mc:AlternateContent>
        <mc:Choice Requires="wps">
          <w:drawing>
            <wp:anchor distT="45720" distB="45720" distL="114300" distR="114300" simplePos="0" relativeHeight="251661312" behindDoc="0" locked="0" layoutInCell="1" hidden="0" allowOverlap="1" wp14:anchorId="3C006977" wp14:editId="76DAE081">
              <wp:simplePos x="0" y="0"/>
              <wp:positionH relativeFrom="column">
                <wp:posOffset>5175253</wp:posOffset>
              </wp:positionH>
              <wp:positionV relativeFrom="paragraph">
                <wp:posOffset>73025</wp:posOffset>
              </wp:positionV>
              <wp:extent cx="1098548" cy="756284"/>
              <wp:effectExtent l="0" t="0" r="0" b="0"/>
              <wp:wrapSquare wrapText="bothSides" distT="45720" distB="45720" distL="114300" distR="114300"/>
              <wp:docPr id="4100" name="Rectángulo 4100"/>
              <wp:cNvGraphicFramePr/>
              <a:graphic xmlns:a="http://schemas.openxmlformats.org/drawingml/2006/main">
                <a:graphicData uri="http://schemas.microsoft.com/office/word/2010/wordprocessingShape">
                  <wps:wsp>
                    <wps:cNvSpPr/>
                    <wps:spPr>
                      <a:xfrm>
                        <a:off x="4801489" y="3406621"/>
                        <a:ext cx="1089023" cy="746759"/>
                      </a:xfrm>
                      <a:prstGeom prst="rect">
                        <a:avLst/>
                      </a:prstGeom>
                      <a:solidFill>
                        <a:srgbClr val="FFFFFF"/>
                      </a:solidFill>
                      <a:ln w="9525" cap="flat" cmpd="sng">
                        <a:solidFill>
                          <a:srgbClr val="FFFFFF"/>
                        </a:solidFill>
                        <a:prstDash val="solid"/>
                        <a:miter lim="8000"/>
                        <a:headEnd type="none" w="sm" len="sm"/>
                        <a:tailEnd type="none" w="sm" len="sm"/>
                      </a:ln>
                    </wps:spPr>
                    <wps:txbx>
                      <w:txbxContent>
                        <w:p w14:paraId="2218A939" w14:textId="77777777" w:rsidR="00C805AF" w:rsidRDefault="00224DE6">
                          <w:pPr>
                            <w:jc w:val="center"/>
                            <w:textDirection w:val="btLr"/>
                          </w:pPr>
                          <w:r>
                            <w:rPr>
                              <w:rFonts w:ascii="Arial" w:eastAsia="Arial" w:hAnsi="Arial" w:cs="Arial"/>
                              <w:color w:val="000000"/>
                              <w:sz w:val="14"/>
                            </w:rPr>
                            <w:t>PG02-PL03 V2</w:t>
                          </w:r>
                        </w:p>
                      </w:txbxContent>
                    </wps:txbx>
                    <wps:bodyPr spcFirstLastPara="1" wrap="square" lIns="91425" tIns="45700" rIns="91425" bIns="45700" anchor="t" anchorCtr="0">
                      <a:noAutofit/>
                    </wps:bodyPr>
                  </wps:wsp>
                </a:graphicData>
              </a:graphic>
            </wp:anchor>
          </w:drawing>
        </mc:Choice>
        <mc:Fallback>
          <w:pict>
            <v:rect w14:anchorId="3C006977" id="Rectángulo 4100" o:spid="_x0000_s1026" style="position:absolute;margin-left:407.5pt;margin-top:5.75pt;width:86.5pt;height:59.55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KDaHQIAAEkEAAAOAAAAZHJzL2Uyb0RvYy54bWysVNuO2jAQfa/Uf7D8XpKwgQVEWFVLqSqt&#10;WqRtP8A4DrHkWz2GhL/v2EkXtn1oVZUHMxNPzpyZOZP1Q68VOQsP0pqKFpOcEmG4raU5VvTb1927&#10;BSUQmKmZskZU9CKAPmzevll3biWmtrWqFp4giIFV5yrahuBWWQa8FZrBxDph8LKxXrOArj9mtWcd&#10;omuVTfN8nnXW185bLgDw6Xa4pJuE3zSChy9NAyIQVVHkFtLp03mIZ7ZZs9XRM9dKPtJg/8BCM2kw&#10;6QvUlgVGTl7+BqUl9xZsEybc6sw2jeQi1YDVFPkv1Ty3zIlUCzYH3Eub4P/B8s/nZ7f32IbOwQrQ&#10;jFX0jdfxH/mRvqLlIi/KxZKSS0Xvynw+nxZD40QfCMeAIl8s8+kdJRwj7sv5/WwZA7IrkvMQPgqr&#10;STQq6nEwqV/s/ARhCP0ZEhODVbLeSaWS44+HR+XJmeEQd+k3or8KU4Z0FV3OpjPkwVBLjWIBTe3q&#10;ioI5pnyv3oC/A47EtgzagUBCGMrXMqB4ldQVXeT5KKZWsPqDqUm4ONS7QdXTyAs0JUrgjqCRRBeY&#10;VH+OwxYqg528TidaoT/048gOtr7sPQHHdxJ5PjEIe+ZRwwWmRV1jwu8n5pGE+mRQOMuijA0KySln&#10;90ib+Nubw+0NM7y1uC7Yx8F8DGl54liMfX8KtpFpfJHVQGUki3pNAhh3Ky7ErZ+irl+AzQ8AAAD/&#10;/wMAUEsDBBQABgAIAAAAIQDV4Lpn3QAAAAoBAAAPAAAAZHJzL2Rvd25yZXYueG1sTI/NTsMwEITv&#10;SLyDtUjcqB2qRmkap0KVCicOlJ/zNnaTqPHait00vD3LCY47M5r9ptrObhCTHWPvSUO2UCAsNd70&#10;1Gr4eN8/FCBiQjI4eLIavm2EbX17U2Fp/JXe7HRIreASiiVq6FIKpZSx6azDuPDBEnsnPzpMfI6t&#10;NCNeudwN8lGpXDrsiT90GOyus835cHEalq8nDDNO+cszuc+voHb7c9NrfX83P21AJDunvzD84jM6&#10;1Mx09BcyUQwaimzFWxIb2QoEB9ZFwcKRhaXKQdaV/D+h/gEAAP//AwBQSwECLQAUAAYACAAAACEA&#10;toM4kv4AAADhAQAAEwAAAAAAAAAAAAAAAAAAAAAAW0NvbnRlbnRfVHlwZXNdLnhtbFBLAQItABQA&#10;BgAIAAAAIQA4/SH/1gAAAJQBAAALAAAAAAAAAAAAAAAAAC8BAABfcmVscy8ucmVsc1BLAQItABQA&#10;BgAIAAAAIQDK7KDaHQIAAEkEAAAOAAAAAAAAAAAAAAAAAC4CAABkcnMvZTJvRG9jLnhtbFBLAQIt&#10;ABQABgAIAAAAIQDV4Lpn3QAAAAoBAAAPAAAAAAAAAAAAAAAAAHcEAABkcnMvZG93bnJldi54bWxQ&#10;SwUGAAAAAAQABADzAAAAgQUAAAAA&#10;" strokecolor="white">
              <v:stroke startarrowwidth="narrow" startarrowlength="short" endarrowwidth="narrow" endarrowlength="short" miterlimit="5243f"/>
              <v:textbox inset="2.53958mm,1.2694mm,2.53958mm,1.2694mm">
                <w:txbxContent>
                  <w:p w14:paraId="2218A939" w14:textId="77777777" w:rsidR="00C805AF" w:rsidRDefault="00224DE6">
                    <w:pPr>
                      <w:jc w:val="center"/>
                      <w:textDirection w:val="btLr"/>
                    </w:pPr>
                    <w:r>
                      <w:rPr>
                        <w:rFonts w:ascii="Arial" w:eastAsia="Arial" w:hAnsi="Arial" w:cs="Arial"/>
                        <w:color w:val="000000"/>
                        <w:sz w:val="14"/>
                      </w:rPr>
                      <w:t>PG02-PL03 V2</w:t>
                    </w:r>
                  </w:p>
                </w:txbxContent>
              </v:textbox>
              <w10:wrap type="square"/>
            </v:rect>
          </w:pict>
        </mc:Fallback>
      </mc:AlternateContent>
    </w:r>
  </w:p>
  <w:p w14:paraId="008BE58C" w14:textId="77777777" w:rsidR="00C805AF" w:rsidRDefault="00224DE6">
    <w:pPr>
      <w:pBdr>
        <w:top w:val="nil"/>
        <w:left w:val="nil"/>
        <w:bottom w:val="nil"/>
        <w:right w:val="nil"/>
        <w:between w:val="nil"/>
      </w:pBdr>
      <w:tabs>
        <w:tab w:val="center" w:pos="4419"/>
        <w:tab w:val="right" w:pos="8838"/>
      </w:tabs>
      <w:rPr>
        <w:rFonts w:ascii="Arial" w:eastAsia="Arial" w:hAnsi="Arial" w:cs="Arial"/>
        <w:color w:val="000000"/>
        <w:sz w:val="16"/>
        <w:szCs w:val="16"/>
      </w:rPr>
    </w:pPr>
    <w:r>
      <w:rPr>
        <w:rFonts w:ascii="Arial" w:eastAsia="Arial" w:hAnsi="Arial" w:cs="Arial"/>
        <w:color w:val="000000"/>
        <w:sz w:val="16"/>
        <w:szCs w:val="16"/>
      </w:rPr>
      <w:t>Teléfono: 601-3581600</w:t>
    </w:r>
  </w:p>
  <w:p w14:paraId="11F1ED6D" w14:textId="77777777" w:rsidR="00C805AF" w:rsidRPr="00522196" w:rsidRDefault="00224DE6">
    <w:pPr>
      <w:pBdr>
        <w:top w:val="nil"/>
        <w:left w:val="nil"/>
        <w:bottom w:val="nil"/>
        <w:right w:val="nil"/>
        <w:between w:val="nil"/>
      </w:pBdr>
      <w:tabs>
        <w:tab w:val="center" w:pos="4419"/>
        <w:tab w:val="right" w:pos="8838"/>
      </w:tabs>
      <w:rPr>
        <w:rFonts w:ascii="Arial" w:eastAsia="Arial" w:hAnsi="Arial" w:cs="Arial"/>
        <w:color w:val="000000"/>
        <w:sz w:val="16"/>
        <w:szCs w:val="16"/>
        <w:lang w:val="pt-PT"/>
      </w:rPr>
    </w:pPr>
    <w:r w:rsidRPr="00522196">
      <w:rPr>
        <w:rFonts w:ascii="Arial" w:eastAsia="Arial" w:hAnsi="Arial" w:cs="Arial"/>
        <w:color w:val="000000"/>
        <w:sz w:val="16"/>
        <w:szCs w:val="16"/>
        <w:lang w:val="pt-PT"/>
      </w:rPr>
      <w:t xml:space="preserve">Código Postal: 110231 </w:t>
    </w:r>
  </w:p>
  <w:p w14:paraId="092E1F9B" w14:textId="77777777" w:rsidR="00C805AF" w:rsidRPr="00522196" w:rsidRDefault="00C805AF">
    <w:pPr>
      <w:pBdr>
        <w:top w:val="nil"/>
        <w:left w:val="nil"/>
        <w:bottom w:val="nil"/>
        <w:right w:val="nil"/>
        <w:between w:val="nil"/>
      </w:pBdr>
      <w:tabs>
        <w:tab w:val="center" w:pos="4419"/>
        <w:tab w:val="right" w:pos="8838"/>
      </w:tabs>
      <w:rPr>
        <w:rFonts w:ascii="Arial" w:eastAsia="Arial" w:hAnsi="Arial" w:cs="Arial"/>
        <w:color w:val="000000"/>
        <w:sz w:val="16"/>
        <w:szCs w:val="16"/>
        <w:lang w:val="pt-PT"/>
      </w:rPr>
    </w:pPr>
    <w:hyperlink r:id="rId2">
      <w:r w:rsidRPr="00522196">
        <w:rPr>
          <w:rFonts w:ascii="Arial" w:eastAsia="Arial" w:hAnsi="Arial" w:cs="Arial"/>
          <w:color w:val="0000FF"/>
          <w:sz w:val="16"/>
          <w:szCs w:val="16"/>
          <w:u w:val="single"/>
          <w:lang w:val="pt-PT"/>
        </w:rPr>
        <w:t>www.habitatbogota.gov.co</w:t>
      </w:r>
    </w:hyperlink>
    <w:r w:rsidRPr="00522196">
      <w:rPr>
        <w:rFonts w:ascii="Arial" w:eastAsia="Arial" w:hAnsi="Arial" w:cs="Arial"/>
        <w:color w:val="000000"/>
        <w:sz w:val="16"/>
        <w:szCs w:val="16"/>
        <w:lang w:val="pt-PT"/>
      </w:rPr>
      <w:t xml:space="preserve">                 </w:t>
    </w:r>
  </w:p>
  <w:p w14:paraId="497F3458" w14:textId="77777777" w:rsidR="00C805AF" w:rsidRPr="00522196" w:rsidRDefault="00C805AF">
    <w:pPr>
      <w:pBdr>
        <w:top w:val="nil"/>
        <w:left w:val="nil"/>
        <w:bottom w:val="nil"/>
        <w:right w:val="nil"/>
        <w:between w:val="nil"/>
      </w:pBdr>
      <w:tabs>
        <w:tab w:val="center" w:pos="4419"/>
        <w:tab w:val="right" w:pos="8838"/>
      </w:tabs>
      <w:rPr>
        <w:color w:val="000000"/>
        <w:lang w:val="pt-P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F8886" w14:textId="77777777" w:rsidR="00224DE6" w:rsidRDefault="00224DE6">
      <w:r>
        <w:separator/>
      </w:r>
    </w:p>
  </w:footnote>
  <w:footnote w:type="continuationSeparator" w:id="0">
    <w:p w14:paraId="1FD67947" w14:textId="77777777" w:rsidR="00224DE6" w:rsidRDefault="00224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4232E" w14:textId="77777777" w:rsidR="00C805AF" w:rsidRDefault="00C805AF">
    <w:pPr>
      <w:rPr>
        <w:b/>
        <w:bCs/>
        <w:sz w:val="22"/>
        <w:szCs w:val="22"/>
      </w:rPr>
    </w:pPr>
    <w:bookmarkStart w:id="7" w:name="_heading=h.g0ck6mntm1z9" w:colFirst="0" w:colLast="0"/>
    <w:bookmarkEnd w:id="7"/>
  </w:p>
  <w:p w14:paraId="2B465E8C" w14:textId="77777777" w:rsidR="00C805AF" w:rsidRDefault="00C805AF">
    <w:pPr>
      <w:rPr>
        <w:b/>
        <w:bCs/>
        <w:sz w:val="22"/>
        <w:szCs w:val="22"/>
      </w:rPr>
    </w:pPr>
  </w:p>
  <w:p w14:paraId="45A5FB99" w14:textId="77777777" w:rsidR="00C805AF" w:rsidRDefault="00C805AF">
    <w:pPr>
      <w:rPr>
        <w:b/>
        <w:bCs/>
        <w:sz w:val="22"/>
        <w:szCs w:val="22"/>
      </w:rPr>
    </w:pPr>
  </w:p>
  <w:p w14:paraId="0BB1F527" w14:textId="77777777" w:rsidR="00C805AF" w:rsidRDefault="00224DE6">
    <w:pPr>
      <w:jc w:val="center"/>
      <w:rPr>
        <w:rFonts w:ascii="Arial" w:eastAsia="Arial" w:hAnsi="Arial" w:cs="Arial"/>
        <w:b/>
        <w:bCs/>
        <w:sz w:val="22"/>
        <w:szCs w:val="22"/>
      </w:rPr>
    </w:pPr>
    <w:r>
      <w:rPr>
        <w:rFonts w:ascii="Arial" w:eastAsia="Arial" w:hAnsi="Arial" w:cs="Arial"/>
        <w:b/>
        <w:bCs/>
        <w:sz w:val="22"/>
        <w:szCs w:val="22"/>
      </w:rPr>
      <w:t>RESOLUCIÓN No. __ DEL XX DE MARZO DE 2026</w:t>
    </w:r>
  </w:p>
  <w:p w14:paraId="4516811B" w14:textId="77777777" w:rsidR="00C805AF" w:rsidRDefault="00224DE6">
    <w:pPr>
      <w:jc w:val="center"/>
      <w:rPr>
        <w:rFonts w:ascii="Arial" w:eastAsia="Arial" w:hAnsi="Arial" w:cs="Arial"/>
        <w:sz w:val="22"/>
        <w:szCs w:val="22"/>
      </w:rPr>
    </w:pPr>
    <w:r>
      <w:rPr>
        <w:rFonts w:ascii="Arial" w:eastAsia="Arial" w:hAnsi="Arial" w:cs="Arial"/>
        <w:sz w:val="22"/>
        <w:szCs w:val="22"/>
      </w:rPr>
      <w:t>“Por la cual se culmina una actuación administrativa”</w:t>
    </w:r>
  </w:p>
  <w:p w14:paraId="0B63BB88" w14:textId="77777777" w:rsidR="00C805AF" w:rsidRDefault="00224DE6">
    <w:pPr>
      <w:rPr>
        <w:rFonts w:ascii="Calibri" w:eastAsia="Calibri" w:hAnsi="Calibri" w:cs="Calibri"/>
        <w:b/>
        <w:bCs/>
        <w:sz w:val="22"/>
        <w:szCs w:val="22"/>
      </w:rPr>
    </w:pPr>
    <w:r>
      <w:rPr>
        <w:rFonts w:ascii="Calibri" w:eastAsia="Calibri" w:hAnsi="Calibri" w:cs="Calibri"/>
        <w:noProof/>
        <w:sz w:val="22"/>
        <w:szCs w:val="22"/>
      </w:rPr>
      <w:drawing>
        <wp:anchor distT="0" distB="0" distL="114300" distR="114300" simplePos="0" relativeHeight="251659264" behindDoc="0" locked="0" layoutInCell="1" hidden="0" allowOverlap="1" wp14:anchorId="18E6E9AE" wp14:editId="6D9F670A">
          <wp:simplePos x="0" y="0"/>
          <wp:positionH relativeFrom="margin">
            <wp:align>center</wp:align>
          </wp:positionH>
          <wp:positionV relativeFrom="page">
            <wp:posOffset>277495</wp:posOffset>
          </wp:positionV>
          <wp:extent cx="1333500" cy="469900"/>
          <wp:effectExtent l="9525" t="9525" r="9525" b="9525"/>
          <wp:wrapSquare wrapText="bothSides" distT="0" distB="0" distL="114300" distR="114300"/>
          <wp:docPr id="410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333500" cy="469900"/>
                  </a:xfrm>
                  <a:prstGeom prst="rect">
                    <a:avLst/>
                  </a:prstGeom>
                  <a:ln w="9525">
                    <a:solidFill>
                      <a:srgbClr val="000000"/>
                    </a:solidFill>
                    <a:prstDash val="soli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0E3D7E"/>
    <w:multiLevelType w:val="multilevel"/>
    <w:tmpl w:val="B33A66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66BE56F7"/>
    <w:multiLevelType w:val="hybridMultilevel"/>
    <w:tmpl w:val="23C8F8B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2077584890">
    <w:abstractNumId w:val="0"/>
  </w:num>
  <w:num w:numId="2" w16cid:durableId="380891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B4C"/>
    <w:rsid w:val="00224DE6"/>
    <w:rsid w:val="00337FA4"/>
    <w:rsid w:val="003F7B12"/>
    <w:rsid w:val="00522196"/>
    <w:rsid w:val="00532AD0"/>
    <w:rsid w:val="00691C25"/>
    <w:rsid w:val="008C1FA1"/>
    <w:rsid w:val="008F61B1"/>
    <w:rsid w:val="00C805AF"/>
    <w:rsid w:val="00E072F0"/>
    <w:rsid w:val="00E34B4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2A94A"/>
  <w15:chartTrackingRefBased/>
  <w15:docId w15:val="{E65E7056-26E1-8D4C-9863-9218763E3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B4C"/>
    <w:rPr>
      <w:rFonts w:ascii="Times New Roman" w:eastAsia="Times New Roman" w:hAnsi="Times New Roman" w:cs="Times New Roman"/>
      <w:kern w:val="0"/>
      <w:sz w:val="20"/>
      <w:szCs w:val="20"/>
      <w:lang w:val="es-ES_tradnl" w:eastAsia="es-CO"/>
      <w14:ligatures w14:val="none"/>
    </w:rPr>
  </w:style>
  <w:style w:type="paragraph" w:styleId="Ttulo2">
    <w:name w:val="heading 2"/>
    <w:basedOn w:val="Normal"/>
    <w:next w:val="Normal"/>
    <w:link w:val="Ttulo2Car"/>
    <w:uiPriority w:val="9"/>
    <w:unhideWhenUsed/>
    <w:qFormat/>
    <w:rsid w:val="00E34B4C"/>
    <w:pPr>
      <w:keepNext/>
      <w:keepLines/>
      <w:spacing w:before="160" w:after="80"/>
      <w:outlineLvl w:val="1"/>
    </w:pPr>
    <w:rPr>
      <w:rFonts w:ascii="Play" w:eastAsia="Play" w:hAnsi="Play" w:cs="Play"/>
      <w:color w:val="0F4761"/>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E34B4C"/>
    <w:rPr>
      <w:rFonts w:ascii="Play" w:eastAsia="Play" w:hAnsi="Play" w:cs="Play"/>
      <w:color w:val="0F4761"/>
      <w:kern w:val="0"/>
      <w:sz w:val="32"/>
      <w:szCs w:val="32"/>
      <w:lang w:val="es-ES_tradnl" w:eastAsia="es-CO"/>
      <w14:ligatures w14:val="none"/>
    </w:rPr>
  </w:style>
  <w:style w:type="paragraph" w:styleId="Prrafodelista">
    <w:name w:val="List Paragraph"/>
    <w:basedOn w:val="Normal"/>
    <w:link w:val="PrrafodelistaCar"/>
    <w:uiPriority w:val="34"/>
    <w:qFormat/>
    <w:rsid w:val="00E34B4C"/>
    <w:pPr>
      <w:ind w:left="720"/>
      <w:contextualSpacing/>
    </w:pPr>
  </w:style>
  <w:style w:type="character" w:customStyle="1" w:styleId="PrrafodelistaCar">
    <w:name w:val="Párrafo de lista Car"/>
    <w:link w:val="Prrafodelista"/>
    <w:uiPriority w:val="34"/>
    <w:qFormat/>
    <w:rsid w:val="00E34B4C"/>
    <w:rPr>
      <w:rFonts w:ascii="Times New Roman" w:eastAsia="Times New Roman" w:hAnsi="Times New Roman" w:cs="Times New Roman"/>
      <w:kern w:val="0"/>
      <w:sz w:val="20"/>
      <w:szCs w:val="20"/>
      <w:lang w:val="es-ES_tradnl"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2932</Words>
  <Characters>16130</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Mauricio Hernandez Beltran</cp:lastModifiedBy>
  <cp:revision>2</cp:revision>
  <dcterms:created xsi:type="dcterms:W3CDTF">2026-03-04T22:10:00Z</dcterms:created>
  <dcterms:modified xsi:type="dcterms:W3CDTF">2026-03-04T22:10:00Z</dcterms:modified>
</cp:coreProperties>
</file>